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17E" w:rsidRPr="0017654B" w:rsidRDefault="00FB3E12" w:rsidP="007B1E1D">
      <w:pPr>
        <w:pStyle w:val="Meta12-Premierparagraphe"/>
        <w:rPr>
          <w:lang w:val="fr-FR"/>
        </w:rPr>
      </w:pPr>
      <w:r w:rsidRPr="0017654B">
        <w:rPr>
          <w:lang w:val="fr-FR"/>
        </w:rPr>
        <w:t>La revue</w:t>
      </w:r>
      <w:r w:rsidR="0038243B" w:rsidRPr="0017654B">
        <w:rPr>
          <w:lang w:val="fr-FR"/>
        </w:rPr>
        <w:t xml:space="preserve"> </w:t>
      </w:r>
      <w:r w:rsidR="0038243B" w:rsidRPr="0017654B">
        <w:rPr>
          <w:i/>
          <w:lang w:val="fr-FR"/>
        </w:rPr>
        <w:t>Meta</w:t>
      </w:r>
      <w:r w:rsidRPr="0017654B">
        <w:rPr>
          <w:lang w:val="fr-FR"/>
        </w:rPr>
        <w:t xml:space="preserve"> publie un numéro spécial par volume</w:t>
      </w:r>
      <w:r w:rsidR="007B1E1D">
        <w:rPr>
          <w:lang w:val="fr-FR"/>
        </w:rPr>
        <w:t>,</w:t>
      </w:r>
      <w:r w:rsidR="00A06B0D">
        <w:rPr>
          <w:lang w:val="fr-FR"/>
        </w:rPr>
        <w:t xml:space="preserve"> d’habitude</w:t>
      </w:r>
      <w:r w:rsidRPr="0017654B">
        <w:rPr>
          <w:lang w:val="fr-FR"/>
        </w:rPr>
        <w:t xml:space="preserve">, mais pas nécessairement, </w:t>
      </w:r>
      <w:r w:rsidR="00A06B0D">
        <w:rPr>
          <w:lang w:val="fr-FR"/>
        </w:rPr>
        <w:t>le</w:t>
      </w:r>
      <w:r w:rsidR="00A06B0D" w:rsidRPr="0017654B">
        <w:rPr>
          <w:lang w:val="fr-FR"/>
        </w:rPr>
        <w:t xml:space="preserve"> </w:t>
      </w:r>
      <w:r w:rsidRPr="0017654B">
        <w:rPr>
          <w:lang w:val="fr-FR"/>
        </w:rPr>
        <w:t xml:space="preserve">numéro 3 (décembre). </w:t>
      </w:r>
      <w:r w:rsidR="0001117E" w:rsidRPr="0017654B">
        <w:rPr>
          <w:lang w:val="fr-FR"/>
        </w:rPr>
        <w:t xml:space="preserve">Les numéros spéciaux </w:t>
      </w:r>
      <w:r w:rsidR="0038243B" w:rsidRPr="0017654B">
        <w:rPr>
          <w:lang w:val="fr-FR"/>
        </w:rPr>
        <w:t xml:space="preserve">sont dirigés par un ou plusieurs directeurs invités. Ils </w:t>
      </w:r>
      <w:r w:rsidR="0001117E" w:rsidRPr="0017654B">
        <w:rPr>
          <w:lang w:val="fr-FR"/>
        </w:rPr>
        <w:t xml:space="preserve">s’articulent autour d’une thématique </w:t>
      </w:r>
      <w:r w:rsidR="008F1735" w:rsidRPr="0017654B">
        <w:rPr>
          <w:lang w:val="fr-FR"/>
        </w:rPr>
        <w:t>particulière</w:t>
      </w:r>
      <w:r w:rsidR="0001117E" w:rsidRPr="0017654B">
        <w:rPr>
          <w:lang w:val="fr-FR"/>
        </w:rPr>
        <w:t xml:space="preserve">, que </w:t>
      </w:r>
      <w:r w:rsidR="00227B13">
        <w:rPr>
          <w:lang w:val="fr-FR"/>
        </w:rPr>
        <w:t>c</w:t>
      </w:r>
      <w:r w:rsidR="0001117E" w:rsidRPr="0017654B">
        <w:rPr>
          <w:lang w:val="fr-FR"/>
        </w:rPr>
        <w:t>e soit en traductologie, en terminologie ou en interprétation.</w:t>
      </w:r>
    </w:p>
    <w:p w:rsidR="0001117E" w:rsidRPr="0017654B" w:rsidRDefault="00FB3E12" w:rsidP="00FB3E12">
      <w:pPr>
        <w:pStyle w:val="Meta14-Titre1"/>
      </w:pPr>
      <w:r w:rsidRPr="0017654B">
        <w:t>1. Planification</w:t>
      </w:r>
    </w:p>
    <w:p w:rsidR="0037796C" w:rsidRDefault="00FB3E12" w:rsidP="007B1E1D">
      <w:pPr>
        <w:pStyle w:val="Meta12-Premierparagraphe"/>
        <w:rPr>
          <w:lang w:val="fr-FR"/>
        </w:rPr>
      </w:pPr>
      <w:r w:rsidRPr="0017654B">
        <w:rPr>
          <w:lang w:val="fr-FR"/>
        </w:rPr>
        <w:t xml:space="preserve">Étant donné le nombre limité de places, les numéros spéciaux se planifient généralement quatre ans à l’avance. Les </w:t>
      </w:r>
      <w:r w:rsidR="00822CA7">
        <w:rPr>
          <w:lang w:val="fr-FR"/>
        </w:rPr>
        <w:t>chercheurs intéressés à diriger un numéro spécial doivent contacter</w:t>
      </w:r>
      <w:r w:rsidR="003B7D21" w:rsidRPr="0017654B">
        <w:rPr>
          <w:lang w:val="fr-FR"/>
        </w:rPr>
        <w:t xml:space="preserve"> </w:t>
      </w:r>
      <w:r w:rsidR="003B7D21" w:rsidRPr="0017654B">
        <w:rPr>
          <w:i/>
          <w:lang w:val="fr-FR"/>
        </w:rPr>
        <w:t>Meta</w:t>
      </w:r>
      <w:r w:rsidRPr="0017654B">
        <w:rPr>
          <w:lang w:val="fr-FR"/>
        </w:rPr>
        <w:t xml:space="preserve"> </w:t>
      </w:r>
      <w:r w:rsidR="003B7D21" w:rsidRPr="0017654B">
        <w:rPr>
          <w:lang w:val="fr-FR"/>
        </w:rPr>
        <w:t xml:space="preserve">pour proposer un </w:t>
      </w:r>
      <w:r w:rsidR="00DB7AFA">
        <w:rPr>
          <w:lang w:val="fr-FR"/>
        </w:rPr>
        <w:t xml:space="preserve">projet de </w:t>
      </w:r>
      <w:r w:rsidR="00822CA7">
        <w:rPr>
          <w:lang w:val="fr-FR"/>
        </w:rPr>
        <w:t>thématique</w:t>
      </w:r>
      <w:r w:rsidR="003B7D21" w:rsidRPr="0017654B">
        <w:rPr>
          <w:lang w:val="fr-FR"/>
        </w:rPr>
        <w:t>. Les requêtes seront traitées selon l’</w:t>
      </w:r>
      <w:bookmarkStart w:id="0" w:name="_GoBack"/>
      <w:bookmarkEnd w:id="0"/>
      <w:r w:rsidR="003B7D21" w:rsidRPr="0017654B">
        <w:rPr>
          <w:lang w:val="fr-FR"/>
        </w:rPr>
        <w:t>ordre de réception.</w:t>
      </w:r>
    </w:p>
    <w:p w:rsidR="00FB3E12" w:rsidRPr="0037796C" w:rsidRDefault="0037796C" w:rsidP="007B1E1D">
      <w:pPr>
        <w:pStyle w:val="Meta13-Autresparagraphes"/>
        <w:rPr>
          <w:lang w:val="fr-FR"/>
        </w:rPr>
      </w:pPr>
      <w:r>
        <w:rPr>
          <w:lang w:val="fr-FR"/>
        </w:rPr>
        <w:t xml:space="preserve">La revue </w:t>
      </w:r>
      <w:r>
        <w:rPr>
          <w:i/>
          <w:lang w:val="fr-FR"/>
        </w:rPr>
        <w:t xml:space="preserve">Meta </w:t>
      </w:r>
      <w:r>
        <w:rPr>
          <w:lang w:val="fr-FR"/>
        </w:rPr>
        <w:t xml:space="preserve">est également ouverte à la publication de numéros spéciaux sous forme de </w:t>
      </w:r>
      <w:r w:rsidRPr="00C53CFF">
        <w:t xml:space="preserve">numéros hors-série. Ceux-ci sont publiés aux frais du directeur invité (15 000 $ CAN </w:t>
      </w:r>
      <w:r w:rsidR="001C1E13" w:rsidRPr="00C53CFF">
        <w:t>par numéro). Ce prix comprend</w:t>
      </w:r>
      <w:r w:rsidRPr="00C53CFF">
        <w:t xml:space="preserve"> les heures de travail des assistants à l’édition (mise en page des articles), les frais des Presses de l’Université de Montréal (graphisme, impression, </w:t>
      </w:r>
      <w:r w:rsidR="00DC5A0A" w:rsidRPr="00C53CFF">
        <w:t>distribution des exemplaires) et les frais de mise en ligne (sur la plateforme Érudit). Bien que payante, cette option permet d’accélérer la publication du numéro spécial, car celui-ci peut alors paraître dès sa complétion.</w:t>
      </w:r>
    </w:p>
    <w:p w:rsidR="00FB3E12" w:rsidRPr="0017654B" w:rsidRDefault="0040774B" w:rsidP="003B7D21">
      <w:pPr>
        <w:pStyle w:val="Meta14-Titre1"/>
      </w:pPr>
      <w:r w:rsidRPr="0017654B">
        <w:t>2. Structure du numéro spécial</w:t>
      </w:r>
    </w:p>
    <w:p w:rsidR="00E0512B" w:rsidRPr="0017654B" w:rsidRDefault="00E0512B" w:rsidP="007B1E1D">
      <w:pPr>
        <w:pStyle w:val="Meta12-Premierparagraphe"/>
        <w:rPr>
          <w:lang w:val="fr-FR"/>
        </w:rPr>
      </w:pPr>
      <w:r w:rsidRPr="0017654B">
        <w:rPr>
          <w:lang w:val="fr-FR"/>
        </w:rPr>
        <w:t>Le numéro spécial doit contenir entre 10 et 12 articles de 8 00</w:t>
      </w:r>
      <w:r w:rsidR="0040774B" w:rsidRPr="0017654B">
        <w:rPr>
          <w:lang w:val="fr-FR"/>
        </w:rPr>
        <w:t>0 à 10 000 mots</w:t>
      </w:r>
      <w:r w:rsidR="007238AB" w:rsidRPr="0017654B">
        <w:rPr>
          <w:lang w:val="fr-FR"/>
        </w:rPr>
        <w:t xml:space="preserve"> chacun</w:t>
      </w:r>
      <w:r w:rsidR="0040774B" w:rsidRPr="0017654B">
        <w:rPr>
          <w:lang w:val="fr-FR"/>
        </w:rPr>
        <w:t>, ainsi qu’</w:t>
      </w:r>
      <w:r w:rsidRPr="0017654B">
        <w:rPr>
          <w:lang w:val="fr-FR"/>
        </w:rPr>
        <w:t>une présentation/introduction.</w:t>
      </w:r>
      <w:r w:rsidR="00052400" w:rsidRPr="0017654B">
        <w:rPr>
          <w:lang w:val="fr-FR"/>
        </w:rPr>
        <w:t xml:space="preserve"> Les articles peuvent être ré</w:t>
      </w:r>
      <w:r w:rsidR="00822CA7">
        <w:rPr>
          <w:lang w:val="fr-FR"/>
        </w:rPr>
        <w:t>digés en français, en anglais ou</w:t>
      </w:r>
      <w:r w:rsidR="00052400" w:rsidRPr="0017654B">
        <w:rPr>
          <w:lang w:val="fr-FR"/>
        </w:rPr>
        <w:t xml:space="preserve"> en espagnol</w:t>
      </w:r>
      <w:r w:rsidR="00227B13">
        <w:rPr>
          <w:lang w:val="fr-FR"/>
        </w:rPr>
        <w:t xml:space="preserve">, </w:t>
      </w:r>
      <w:r w:rsidR="00227B13" w:rsidRPr="0017654B">
        <w:rPr>
          <w:lang w:val="fr-FR"/>
        </w:rPr>
        <w:t>cependant</w:t>
      </w:r>
      <w:r w:rsidR="00052400" w:rsidRPr="0017654B">
        <w:rPr>
          <w:lang w:val="fr-FR"/>
        </w:rPr>
        <w:t xml:space="preserve"> </w:t>
      </w:r>
      <w:r w:rsidR="00052400" w:rsidRPr="0017654B">
        <w:rPr>
          <w:i/>
          <w:lang w:val="fr-FR"/>
        </w:rPr>
        <w:t>Meta</w:t>
      </w:r>
      <w:r w:rsidR="00052400" w:rsidRPr="0017654B">
        <w:rPr>
          <w:lang w:val="fr-FR"/>
        </w:rPr>
        <w:t xml:space="preserve"> exige qu’au moins l</w:t>
      </w:r>
      <w:r w:rsidR="0038243B" w:rsidRPr="0017654B">
        <w:rPr>
          <w:lang w:val="fr-FR"/>
        </w:rPr>
        <w:t>a moitié des articles du numéro</w:t>
      </w:r>
      <w:r w:rsidR="00052400" w:rsidRPr="0017654B">
        <w:rPr>
          <w:lang w:val="fr-FR"/>
        </w:rPr>
        <w:t xml:space="preserve"> soient écrits en français.</w:t>
      </w:r>
    </w:p>
    <w:p w:rsidR="00E0512B" w:rsidRPr="0017654B" w:rsidRDefault="001E3A9D" w:rsidP="001E3A9D">
      <w:pPr>
        <w:pStyle w:val="Meta14-Titre1"/>
      </w:pPr>
      <w:r w:rsidRPr="0017654B">
        <w:t>3. Processus éditorial</w:t>
      </w:r>
    </w:p>
    <w:p w:rsidR="0038243B" w:rsidRPr="0017654B" w:rsidRDefault="0038243B" w:rsidP="007B1E1D">
      <w:pPr>
        <w:pStyle w:val="Meta12-Premierparagraphe"/>
        <w:rPr>
          <w:lang w:val="fr-FR"/>
        </w:rPr>
      </w:pPr>
      <w:r w:rsidRPr="0017654B">
        <w:rPr>
          <w:lang w:val="fr-FR"/>
        </w:rPr>
        <w:t>Le directeur</w:t>
      </w:r>
      <w:r w:rsidR="001F2B87">
        <w:rPr>
          <w:lang w:val="fr-FR"/>
        </w:rPr>
        <w:t xml:space="preserve"> invité</w:t>
      </w:r>
      <w:r w:rsidRPr="0017654B">
        <w:rPr>
          <w:lang w:val="fr-FR"/>
        </w:rPr>
        <w:t xml:space="preserve"> pre</w:t>
      </w:r>
      <w:r w:rsidR="001F2B87">
        <w:rPr>
          <w:lang w:val="fr-FR"/>
        </w:rPr>
        <w:t>nd</w:t>
      </w:r>
      <w:r w:rsidRPr="0017654B">
        <w:rPr>
          <w:lang w:val="fr-FR"/>
        </w:rPr>
        <w:t xml:space="preserve"> en charge </w:t>
      </w:r>
      <w:r w:rsidR="008F1735" w:rsidRPr="0017654B">
        <w:rPr>
          <w:lang w:val="fr-FR"/>
        </w:rPr>
        <w:t>la</w:t>
      </w:r>
      <w:r w:rsidRPr="0017654B">
        <w:rPr>
          <w:lang w:val="fr-FR"/>
        </w:rPr>
        <w:t xml:space="preserve"> grande </w:t>
      </w:r>
      <w:r w:rsidR="008F1735" w:rsidRPr="0017654B">
        <w:rPr>
          <w:lang w:val="fr-FR"/>
        </w:rPr>
        <w:t>majorité</w:t>
      </w:r>
      <w:r w:rsidRPr="0017654B">
        <w:rPr>
          <w:lang w:val="fr-FR"/>
        </w:rPr>
        <w:t xml:space="preserve"> des tâches éditoriales associées à la production du numéro</w:t>
      </w:r>
      <w:r w:rsidR="00DB7AFA">
        <w:rPr>
          <w:lang w:val="fr-FR"/>
        </w:rPr>
        <w:t xml:space="preserve"> et suit la procédure en vigueur à </w:t>
      </w:r>
      <w:r w:rsidR="00DB7AFA">
        <w:rPr>
          <w:i/>
          <w:lang w:val="fr-FR"/>
        </w:rPr>
        <w:t>Meta</w:t>
      </w:r>
      <w:r w:rsidRPr="0017654B">
        <w:rPr>
          <w:lang w:val="fr-FR"/>
        </w:rPr>
        <w:t>.</w:t>
      </w:r>
    </w:p>
    <w:p w:rsidR="00E0512B" w:rsidRPr="0017654B" w:rsidRDefault="0027304F" w:rsidP="0027304F">
      <w:pPr>
        <w:pStyle w:val="Meta15-Titre2"/>
      </w:pPr>
      <w:r w:rsidRPr="0017654B">
        <w:t>3.</w:t>
      </w:r>
      <w:r w:rsidR="001F2B87">
        <w:t>1. Sélection des articles</w:t>
      </w:r>
    </w:p>
    <w:p w:rsidR="00DB7AFA" w:rsidRDefault="001F2B87" w:rsidP="007B1E1D">
      <w:pPr>
        <w:pStyle w:val="Meta12-Premierparagraphe"/>
        <w:rPr>
          <w:lang w:val="fr-FR"/>
        </w:rPr>
      </w:pPr>
      <w:r>
        <w:rPr>
          <w:lang w:val="fr-FR"/>
        </w:rPr>
        <w:t>Le directeur invité sollicite</w:t>
      </w:r>
      <w:r w:rsidR="00CA2795" w:rsidRPr="0017654B">
        <w:rPr>
          <w:lang w:val="fr-FR"/>
        </w:rPr>
        <w:t xml:space="preserve"> des articles par un appel à contributions. Cet appel peut connaître </w:t>
      </w:r>
      <w:r w:rsidR="0017654B">
        <w:rPr>
          <w:lang w:val="fr-FR"/>
        </w:rPr>
        <w:t xml:space="preserve">une diffusion plus au moins large. Par exemple, il peut être restreint aux participants d’un colloque </w:t>
      </w:r>
      <w:r w:rsidR="007124E0">
        <w:rPr>
          <w:lang w:val="fr-FR"/>
        </w:rPr>
        <w:t xml:space="preserve">ou être </w:t>
      </w:r>
      <w:r>
        <w:rPr>
          <w:lang w:val="fr-FR"/>
        </w:rPr>
        <w:t>ouvert à tous.</w:t>
      </w:r>
      <w:r w:rsidR="00E95A50">
        <w:rPr>
          <w:lang w:val="fr-FR"/>
        </w:rPr>
        <w:t xml:space="preserve"> Le directeur joint à son appel la feuille de style </w:t>
      </w:r>
      <w:r w:rsidR="00A770D7">
        <w:rPr>
          <w:lang w:val="fr-FR"/>
        </w:rPr>
        <w:t xml:space="preserve">et le formulaire de statut </w:t>
      </w:r>
      <w:r w:rsidR="00E95A50">
        <w:rPr>
          <w:lang w:val="fr-FR"/>
        </w:rPr>
        <w:t xml:space="preserve">de </w:t>
      </w:r>
      <w:r w:rsidR="00E95A50">
        <w:rPr>
          <w:i/>
          <w:lang w:val="fr-FR"/>
        </w:rPr>
        <w:t>Meta</w:t>
      </w:r>
      <w:r w:rsidR="006806E4">
        <w:rPr>
          <w:i/>
          <w:lang w:val="fr-FR"/>
        </w:rPr>
        <w:t> </w:t>
      </w:r>
      <w:r w:rsidR="006806E4">
        <w:rPr>
          <w:lang w:val="fr-FR"/>
        </w:rPr>
        <w:t xml:space="preserve">; il invite également les auteurs à mettre </w:t>
      </w:r>
      <w:r w:rsidR="006806E4">
        <w:rPr>
          <w:i/>
          <w:lang w:val="fr-FR"/>
        </w:rPr>
        <w:t>Meta</w:t>
      </w:r>
      <w:r w:rsidR="006806E4">
        <w:rPr>
          <w:lang w:val="fr-FR"/>
        </w:rPr>
        <w:t xml:space="preserve"> en copie de toute corresp</w:t>
      </w:r>
      <w:r w:rsidR="001C1E13">
        <w:rPr>
          <w:lang w:val="fr-FR"/>
        </w:rPr>
        <w:t>ondance relative à leur article, y compris au moment de la soumission.</w:t>
      </w:r>
    </w:p>
    <w:p w:rsidR="00A770D7" w:rsidRPr="0017654B" w:rsidRDefault="00DB7AFA" w:rsidP="007B1E1D">
      <w:pPr>
        <w:pStyle w:val="Meta13-Autresparagraphes"/>
        <w:rPr>
          <w:lang w:val="fr-FR"/>
        </w:rPr>
      </w:pPr>
      <w:r>
        <w:rPr>
          <w:i/>
          <w:lang w:val="fr-FR"/>
        </w:rPr>
        <w:t>Meta</w:t>
      </w:r>
      <w:r>
        <w:rPr>
          <w:lang w:val="fr-FR"/>
        </w:rPr>
        <w:t xml:space="preserve"> déconseille fortement au directeur invité de publier un article dans le numéro qu’il dirige. Si, pour une raison quelconque, le directeur invité juge opportun de le faire, son article sera pris en charge par le comité de rédaction de </w:t>
      </w:r>
      <w:r>
        <w:rPr>
          <w:i/>
          <w:lang w:val="fr-FR"/>
        </w:rPr>
        <w:t>Meta</w:t>
      </w:r>
      <w:r>
        <w:rPr>
          <w:lang w:val="fr-FR"/>
        </w:rPr>
        <w:t>, selon les modalités habituelles.</w:t>
      </w:r>
    </w:p>
    <w:p w:rsidR="00CA2795" w:rsidRDefault="001F2B87" w:rsidP="007B1E1D">
      <w:pPr>
        <w:pStyle w:val="Meta13-Autresparagraphes"/>
        <w:rPr>
          <w:lang w:val="fr-FR"/>
        </w:rPr>
      </w:pPr>
      <w:r>
        <w:rPr>
          <w:lang w:val="fr-FR"/>
        </w:rPr>
        <w:t xml:space="preserve">Le directeur peut procéder à une sélection préliminaire </w:t>
      </w:r>
      <w:r w:rsidR="00F263FE">
        <w:rPr>
          <w:lang w:val="fr-FR"/>
        </w:rPr>
        <w:t>s</w:t>
      </w:r>
      <w:r w:rsidR="00DB7AFA">
        <w:rPr>
          <w:lang w:val="fr-FR"/>
        </w:rPr>
        <w:t xml:space="preserve">ur la base de critères formels – </w:t>
      </w:r>
      <w:r w:rsidR="00F263FE">
        <w:rPr>
          <w:lang w:val="fr-FR"/>
        </w:rPr>
        <w:t>respect de la feuille de style (formatage,</w:t>
      </w:r>
      <w:r w:rsidR="007810A0">
        <w:rPr>
          <w:lang w:val="fr-FR"/>
        </w:rPr>
        <w:t xml:space="preserve"> longueur minimale/</w:t>
      </w:r>
      <w:r w:rsidR="00DB7AFA">
        <w:rPr>
          <w:lang w:val="fr-FR"/>
        </w:rPr>
        <w:t>maximale), qualité linguistique – ou de fond</w:t>
      </w:r>
      <w:r w:rsidR="007810A0">
        <w:rPr>
          <w:lang w:val="fr-FR"/>
        </w:rPr>
        <w:t xml:space="preserve"> </w:t>
      </w:r>
      <w:r w:rsidR="00DB7AFA">
        <w:rPr>
          <w:lang w:val="fr-FR"/>
        </w:rPr>
        <w:t xml:space="preserve">– </w:t>
      </w:r>
      <w:r>
        <w:rPr>
          <w:lang w:val="fr-FR"/>
        </w:rPr>
        <w:lastRenderedPageBreak/>
        <w:t xml:space="preserve">pertinence par rapport à la thématique </w:t>
      </w:r>
      <w:r w:rsidR="00227B13">
        <w:rPr>
          <w:lang w:val="fr-FR"/>
        </w:rPr>
        <w:t>choisie</w:t>
      </w:r>
      <w:r w:rsidR="005249FF">
        <w:rPr>
          <w:lang w:val="fr-FR"/>
        </w:rPr>
        <w:t>. À cette étape du processus, il est recommandé de sélect</w:t>
      </w:r>
      <w:r w:rsidR="00983ACE">
        <w:rPr>
          <w:lang w:val="fr-FR"/>
        </w:rPr>
        <w:t>ionner entre 15 et 20 articles</w:t>
      </w:r>
      <w:r w:rsidR="00795709">
        <w:rPr>
          <w:lang w:val="fr-FR"/>
        </w:rPr>
        <w:t xml:space="preserve"> à envoyer en évaluation.</w:t>
      </w:r>
    </w:p>
    <w:p w:rsidR="0015462E" w:rsidRDefault="00A32EF0" w:rsidP="007B1E1D">
      <w:pPr>
        <w:pStyle w:val="Meta13-Autresparagraphes"/>
        <w:rPr>
          <w:lang w:val="fr-FR"/>
        </w:rPr>
      </w:pPr>
      <w:r>
        <w:rPr>
          <w:lang w:val="fr-FR"/>
        </w:rPr>
        <w:t xml:space="preserve">Les articles soumis doivent être formatés selon la feuille de style de la revue (par ex. : </w:t>
      </w:r>
      <w:r w:rsidR="00CD006E">
        <w:rPr>
          <w:lang w:val="fr-FR"/>
        </w:rPr>
        <w:t xml:space="preserve">longueur, </w:t>
      </w:r>
      <w:r>
        <w:rPr>
          <w:lang w:val="fr-FR"/>
        </w:rPr>
        <w:t>résumé e</w:t>
      </w:r>
      <w:r w:rsidR="00CD006E">
        <w:rPr>
          <w:lang w:val="fr-FR"/>
        </w:rPr>
        <w:t>t</w:t>
      </w:r>
      <w:r w:rsidR="000C6598">
        <w:rPr>
          <w:lang w:val="fr-FR"/>
        </w:rPr>
        <w:t xml:space="preserve"> mots-clés tri</w:t>
      </w:r>
      <w:r w:rsidR="00D406D4">
        <w:rPr>
          <w:lang w:val="fr-FR"/>
        </w:rPr>
        <w:t>lingues,</w:t>
      </w:r>
      <w:r w:rsidR="006F5BB0">
        <w:rPr>
          <w:lang w:val="fr-FR"/>
        </w:rPr>
        <w:t xml:space="preserve"> figures d’une résolution suffisante,</w:t>
      </w:r>
      <w:r w:rsidR="00D406D4">
        <w:rPr>
          <w:lang w:val="fr-FR"/>
        </w:rPr>
        <w:t xml:space="preserve"> etc.). Si l’article contient des caractères non latins (par ex. : </w:t>
      </w:r>
      <w:r w:rsidR="006F5BB0">
        <w:rPr>
          <w:lang w:val="fr-FR"/>
        </w:rPr>
        <w:t xml:space="preserve">chinois, </w:t>
      </w:r>
      <w:r w:rsidR="00D406D4">
        <w:rPr>
          <w:lang w:val="fr-FR"/>
        </w:rPr>
        <w:t>japonais ou arabe</w:t>
      </w:r>
      <w:r w:rsidR="006F5BB0">
        <w:rPr>
          <w:lang w:val="fr-FR"/>
        </w:rPr>
        <w:t>s</w:t>
      </w:r>
      <w:r w:rsidR="00D406D4">
        <w:rPr>
          <w:lang w:val="fr-FR"/>
        </w:rPr>
        <w:t>), celui-ci doit être envoyé en version DOC et PDF.</w:t>
      </w:r>
      <w:r w:rsidR="006F5BB0">
        <w:rPr>
          <w:lang w:val="fr-FR"/>
        </w:rPr>
        <w:t xml:space="preserve"> Si l’article contient des images, photographies ou diagrammes dont l’auteur n’a pas la propriété, celui-ci doit obtenir </w:t>
      </w:r>
      <w:r w:rsidR="004E533E">
        <w:rPr>
          <w:lang w:val="fr-FR"/>
        </w:rPr>
        <w:t xml:space="preserve">une permission de reproduction auprès de l’entité détenant les droits, en envoyer copie à </w:t>
      </w:r>
      <w:r w:rsidR="004E533E">
        <w:rPr>
          <w:i/>
          <w:lang w:val="fr-FR"/>
        </w:rPr>
        <w:t>Meta</w:t>
      </w:r>
      <w:r w:rsidR="004E533E">
        <w:rPr>
          <w:lang w:val="fr-FR"/>
        </w:rPr>
        <w:t xml:space="preserve"> et le mentionner dans son article. </w:t>
      </w:r>
    </w:p>
    <w:p w:rsidR="00BF4C46" w:rsidRDefault="00A32EF0" w:rsidP="007B1E1D">
      <w:pPr>
        <w:pStyle w:val="Meta13-Autresparagraphes"/>
        <w:rPr>
          <w:lang w:val="fr-FR"/>
        </w:rPr>
      </w:pPr>
      <w:r>
        <w:rPr>
          <w:lang w:val="fr-FR"/>
        </w:rPr>
        <w:t>Chaque soumission</w:t>
      </w:r>
      <w:r w:rsidR="00DB7AFA">
        <w:rPr>
          <w:lang w:val="fr-FR"/>
        </w:rPr>
        <w:t xml:space="preserve"> d’article</w:t>
      </w:r>
      <w:r>
        <w:rPr>
          <w:lang w:val="fr-FR"/>
        </w:rPr>
        <w:t xml:space="preserve"> doit être accompagnée d’un formulaire d</w:t>
      </w:r>
      <w:r w:rsidR="00D406D4">
        <w:rPr>
          <w:lang w:val="fr-FR"/>
        </w:rPr>
        <w:t>e statut dûment rempli et signé</w:t>
      </w:r>
      <w:r>
        <w:rPr>
          <w:lang w:val="fr-FR"/>
        </w:rPr>
        <w:t>. Dans le cas d’un article multi-auteur, le formulaire doit c</w:t>
      </w:r>
      <w:r w:rsidR="00D406D4">
        <w:rPr>
          <w:lang w:val="fr-FR"/>
        </w:rPr>
        <w:t>omporter la signature de tous les auteurs</w:t>
      </w:r>
      <w:r>
        <w:rPr>
          <w:lang w:val="fr-FR"/>
        </w:rPr>
        <w:t>.</w:t>
      </w:r>
      <w:r w:rsidR="004E533E">
        <w:rPr>
          <w:lang w:val="fr-FR"/>
        </w:rPr>
        <w:t xml:space="preserve"> En signant le formulaire, l’auteur certifie que :</w:t>
      </w:r>
    </w:p>
    <w:p w:rsidR="006F5BB0" w:rsidRDefault="006F5BB0" w:rsidP="00CD006E">
      <w:pPr>
        <w:pStyle w:val="Meta20-Citation"/>
        <w:ind w:left="567"/>
      </w:pPr>
      <w:r>
        <w:t>L’article n’a pas déjà été publié, en partie ou en totalité.</w:t>
      </w:r>
    </w:p>
    <w:p w:rsidR="006F5BB0" w:rsidRDefault="006F5BB0" w:rsidP="00CD006E">
      <w:pPr>
        <w:pStyle w:val="Meta20-Citation"/>
        <w:ind w:left="567"/>
      </w:pPr>
      <w:r>
        <w:t xml:space="preserve">L’article n’est pas en cours d’évaluation par une publication autre que </w:t>
      </w:r>
      <w:r>
        <w:rPr>
          <w:i/>
        </w:rPr>
        <w:t>Meta</w:t>
      </w:r>
      <w:r>
        <w:t>.</w:t>
      </w:r>
    </w:p>
    <w:p w:rsidR="006F5BB0" w:rsidRDefault="006F5BB0" w:rsidP="00CD006E">
      <w:pPr>
        <w:pStyle w:val="Meta20-Citation"/>
        <w:ind w:left="567"/>
      </w:pPr>
      <w:r>
        <w:t xml:space="preserve">L’article ne sera pas soumis à une autre publication </w:t>
      </w:r>
      <w:r w:rsidR="00DB7AFA">
        <w:t>avant la fin du</w:t>
      </w:r>
      <w:r>
        <w:t xml:space="preserve"> processus d’évaluation de </w:t>
      </w:r>
      <w:r>
        <w:rPr>
          <w:i/>
        </w:rPr>
        <w:t>Meta</w:t>
      </w:r>
      <w:r w:rsidR="00DB7AFA">
        <w:t>.</w:t>
      </w:r>
    </w:p>
    <w:p w:rsidR="00BF4C46" w:rsidRPr="00CD006E" w:rsidRDefault="006F5BB0" w:rsidP="00CD006E">
      <w:pPr>
        <w:pStyle w:val="Meta20-Citation"/>
        <w:ind w:left="567"/>
      </w:pPr>
      <w:r w:rsidRPr="006F5BB0">
        <w:t>L’article n’est pas une traduction d’un article publié dans une autre langue, en partie ou en totalité.</w:t>
      </w:r>
    </w:p>
    <w:p w:rsidR="00BF4C46" w:rsidRPr="004E533E" w:rsidRDefault="00BF4C46" w:rsidP="007B1E1D">
      <w:pPr>
        <w:pStyle w:val="Meta13-Autresparagraphes"/>
        <w:rPr>
          <w:lang w:val="fr-FR"/>
        </w:rPr>
      </w:pPr>
      <w:r>
        <w:rPr>
          <w:lang w:val="fr-FR"/>
        </w:rPr>
        <w:t>La réception du formulaire de statut rempli et signé est obligatoire pour passer à l’étape de l’évaluation.</w:t>
      </w:r>
    </w:p>
    <w:p w:rsidR="00CA2795" w:rsidRDefault="00F82EB9" w:rsidP="00F82EB9">
      <w:pPr>
        <w:pStyle w:val="Meta15-Titre2"/>
      </w:pPr>
      <w:r>
        <w:t>3.2. Évaluation des soumissions</w:t>
      </w:r>
    </w:p>
    <w:p w:rsidR="00F82EB9" w:rsidRDefault="008D6C18" w:rsidP="007B1E1D">
      <w:pPr>
        <w:pStyle w:val="Meta12-Premierparagraphe"/>
        <w:rPr>
          <w:lang w:val="fr-FR"/>
        </w:rPr>
      </w:pPr>
      <w:r>
        <w:rPr>
          <w:lang w:val="fr-FR"/>
        </w:rPr>
        <w:t xml:space="preserve">Chaque article </w:t>
      </w:r>
      <w:r w:rsidR="00667161">
        <w:rPr>
          <w:lang w:val="fr-FR"/>
        </w:rPr>
        <w:t xml:space="preserve">sélectionné </w:t>
      </w:r>
      <w:r>
        <w:rPr>
          <w:lang w:val="fr-FR"/>
        </w:rPr>
        <w:t>doit</w:t>
      </w:r>
      <w:r w:rsidR="00F82EB9">
        <w:rPr>
          <w:lang w:val="fr-FR"/>
        </w:rPr>
        <w:t xml:space="preserve"> être soumis à une double év</w:t>
      </w:r>
      <w:r>
        <w:rPr>
          <w:lang w:val="fr-FR"/>
        </w:rPr>
        <w:t>aluation anonyme par les pairs.</w:t>
      </w:r>
    </w:p>
    <w:p w:rsidR="008D6C18" w:rsidRPr="0017654B" w:rsidRDefault="005608EE" w:rsidP="008D6C18">
      <w:pPr>
        <w:pStyle w:val="Meta16-Titre3"/>
      </w:pPr>
      <w:r>
        <w:t>3.2.1</w:t>
      </w:r>
      <w:r w:rsidR="008D6C18">
        <w:t>. Choix des évaluateurs</w:t>
      </w:r>
    </w:p>
    <w:p w:rsidR="00DB7AFA" w:rsidRDefault="0078683B" w:rsidP="007B1E1D">
      <w:pPr>
        <w:pStyle w:val="Meta12-Premierparagraphe"/>
        <w:rPr>
          <w:lang w:val="fr-FR"/>
        </w:rPr>
      </w:pPr>
      <w:r>
        <w:rPr>
          <w:lang w:val="fr-FR"/>
        </w:rPr>
        <w:t>Le directeur invité peut constituer un comité scientifique ou avoir recours à un ensemble d’évaluateurs externes pour l’évaluation des articles.</w:t>
      </w:r>
      <w:r w:rsidR="00FB75DA">
        <w:rPr>
          <w:lang w:val="fr-FR"/>
        </w:rPr>
        <w:t xml:space="preserve"> </w:t>
      </w:r>
      <w:r w:rsidR="00B26E4F">
        <w:rPr>
          <w:lang w:val="fr-FR"/>
        </w:rPr>
        <w:t>Dans tous les cas, le directeur invité</w:t>
      </w:r>
      <w:r w:rsidR="008D6C18">
        <w:rPr>
          <w:lang w:val="fr-FR"/>
        </w:rPr>
        <w:t xml:space="preserve"> ne peut participer à l’évaluation</w:t>
      </w:r>
      <w:r w:rsidR="006C2986">
        <w:rPr>
          <w:lang w:val="fr-FR"/>
        </w:rPr>
        <w:t>, par souci de neutralité.</w:t>
      </w:r>
      <w:r w:rsidR="003D264C">
        <w:rPr>
          <w:lang w:val="fr-FR"/>
        </w:rPr>
        <w:t xml:space="preserve"> Les deux évaluateurs d’un article ne peuvent être affiliés à la même institution, ni être affiliés à la même institution que l’auteur.</w:t>
      </w:r>
    </w:p>
    <w:p w:rsidR="008D19A8" w:rsidRDefault="00FF4D8E" w:rsidP="007B1E1D">
      <w:pPr>
        <w:pStyle w:val="Meta13-Autresparagraphes"/>
        <w:rPr>
          <w:lang w:val="fr-FR"/>
        </w:rPr>
      </w:pPr>
      <w:r>
        <w:rPr>
          <w:lang w:val="fr-FR"/>
        </w:rPr>
        <w:t>Les évalu</w:t>
      </w:r>
      <w:r w:rsidR="002558FC">
        <w:rPr>
          <w:lang w:val="fr-FR"/>
        </w:rPr>
        <w:t xml:space="preserve">ateurs doivent </w:t>
      </w:r>
      <w:r w:rsidR="003107DE">
        <w:rPr>
          <w:lang w:val="fr-FR"/>
        </w:rPr>
        <w:t>être choisis en fonction de leurs compétences : familiarité avec le cadre théorique</w:t>
      </w:r>
      <w:r w:rsidR="00B06F65">
        <w:rPr>
          <w:lang w:val="fr-FR"/>
        </w:rPr>
        <w:t xml:space="preserve"> ou avec la méthodologie décrits</w:t>
      </w:r>
      <w:r w:rsidR="003107DE">
        <w:rPr>
          <w:lang w:val="fr-FR"/>
        </w:rPr>
        <w:t xml:space="preserve"> dans l’article, connaissance de </w:t>
      </w:r>
      <w:r w:rsidR="00DB7AFA">
        <w:rPr>
          <w:lang w:val="fr-FR"/>
        </w:rPr>
        <w:t>l’objet d’étude, maîtrise des langues de travail de l’article</w:t>
      </w:r>
      <w:r w:rsidR="007C79A9">
        <w:rPr>
          <w:lang w:val="fr-FR"/>
        </w:rPr>
        <w:t>, etc.</w:t>
      </w:r>
    </w:p>
    <w:p w:rsidR="008D19A8" w:rsidRDefault="005608EE" w:rsidP="0002001C">
      <w:pPr>
        <w:pStyle w:val="Meta16-Titre3"/>
      </w:pPr>
      <w:r>
        <w:t>3.2.2</w:t>
      </w:r>
      <w:r w:rsidR="00CE32DA">
        <w:t>. Rapport</w:t>
      </w:r>
      <w:r w:rsidR="006807DA">
        <w:t>s</w:t>
      </w:r>
      <w:r w:rsidR="00CE32DA">
        <w:t xml:space="preserve"> d’évaluation</w:t>
      </w:r>
    </w:p>
    <w:p w:rsidR="006807DA" w:rsidRPr="006807DA" w:rsidRDefault="00CE32DA" w:rsidP="007B1E1D">
      <w:pPr>
        <w:pStyle w:val="Meta12-Premierparagraphe"/>
        <w:rPr>
          <w:lang w:val="fr-FR"/>
        </w:rPr>
      </w:pPr>
      <w:r>
        <w:rPr>
          <w:lang w:val="fr-FR"/>
        </w:rPr>
        <w:t xml:space="preserve">Les évaluateurs doivent remplir le formulaire d’évaluation de </w:t>
      </w:r>
      <w:r>
        <w:rPr>
          <w:i/>
          <w:lang w:val="fr-FR"/>
        </w:rPr>
        <w:t>Meta</w:t>
      </w:r>
      <w:r w:rsidR="006807DA">
        <w:rPr>
          <w:lang w:val="fr-FR"/>
        </w:rPr>
        <w:t xml:space="preserve">. </w:t>
      </w:r>
      <w:r w:rsidR="00FA3ADB">
        <w:rPr>
          <w:lang w:val="fr-FR"/>
        </w:rPr>
        <w:t xml:space="preserve">La revue leur demande de fournir une appréciation qualitative suffisamment détaillée pour justifier </w:t>
      </w:r>
      <w:r w:rsidR="00F022D2">
        <w:rPr>
          <w:lang w:val="fr-FR"/>
        </w:rPr>
        <w:t>le verdict de leur évaluation</w:t>
      </w:r>
      <w:r w:rsidR="00B06F65">
        <w:rPr>
          <w:lang w:val="fr-FR"/>
        </w:rPr>
        <w:t xml:space="preserve"> et de remplir le tableau de synthèse à la section 1 du formulaire</w:t>
      </w:r>
      <w:r w:rsidR="00F022D2">
        <w:rPr>
          <w:lang w:val="fr-FR"/>
        </w:rPr>
        <w:t>.</w:t>
      </w:r>
      <w:r w:rsidR="00662569">
        <w:rPr>
          <w:lang w:val="fr-FR"/>
        </w:rPr>
        <w:t xml:space="preserve"> Au besoin, l’évaluateur peut insérer des </w:t>
      </w:r>
      <w:r w:rsidR="00662569">
        <w:rPr>
          <w:lang w:val="fr-FR"/>
        </w:rPr>
        <w:lastRenderedPageBreak/>
        <w:t>commentaires et des corrections directement dans l’article original</w:t>
      </w:r>
      <w:r w:rsidR="00E67496">
        <w:rPr>
          <w:lang w:val="fr-FR"/>
        </w:rPr>
        <w:t xml:space="preserve"> en utilisant la fonction « Suivi de modifications » dans Word.</w:t>
      </w:r>
    </w:p>
    <w:p w:rsidR="006807DA" w:rsidRDefault="00662569" w:rsidP="009D4C88">
      <w:pPr>
        <w:pStyle w:val="Meta16-Titre3"/>
      </w:pPr>
      <w:r>
        <w:t>3.2.3. Verdict de l’évaluation</w:t>
      </w:r>
    </w:p>
    <w:p w:rsidR="00662569" w:rsidRDefault="00C01AC2" w:rsidP="007B1E1D">
      <w:pPr>
        <w:pStyle w:val="Meta12-Premierparagraphe"/>
        <w:rPr>
          <w:lang w:val="fr-FR"/>
        </w:rPr>
      </w:pPr>
      <w:r>
        <w:rPr>
          <w:lang w:val="fr-FR"/>
        </w:rPr>
        <w:t xml:space="preserve">Le directeur invité </w:t>
      </w:r>
      <w:r w:rsidR="00D97A2C">
        <w:rPr>
          <w:lang w:val="fr-FR"/>
        </w:rPr>
        <w:t xml:space="preserve">s’appuie sur les deux rapports d’évaluation pour prendre une décision par rapport à chaque article. </w:t>
      </w:r>
      <w:r w:rsidR="009B66B8">
        <w:rPr>
          <w:lang w:val="fr-FR"/>
        </w:rPr>
        <w:t>En cas d’</w:t>
      </w:r>
      <w:r w:rsidR="00662569" w:rsidRPr="009B66B8">
        <w:rPr>
          <w:lang w:val="fr-FR"/>
        </w:rPr>
        <w:t>évaluations contradictoires,</w:t>
      </w:r>
      <w:r w:rsidR="009B66B8">
        <w:rPr>
          <w:lang w:val="fr-FR"/>
        </w:rPr>
        <w:t xml:space="preserve"> l’article </w:t>
      </w:r>
      <w:r w:rsidR="00CF0182">
        <w:rPr>
          <w:lang w:val="fr-FR"/>
        </w:rPr>
        <w:t>sera</w:t>
      </w:r>
      <w:r w:rsidR="009B66B8">
        <w:rPr>
          <w:lang w:val="fr-FR"/>
        </w:rPr>
        <w:t xml:space="preserve"> envoyé à un troisième évaluateur.</w:t>
      </w:r>
    </w:p>
    <w:p w:rsidR="00B06F65" w:rsidRDefault="00CF0182" w:rsidP="007B1E1D">
      <w:pPr>
        <w:pStyle w:val="Meta13-Autresparagraphes"/>
        <w:rPr>
          <w:lang w:val="fr-FR"/>
        </w:rPr>
      </w:pPr>
      <w:r>
        <w:rPr>
          <w:lang w:val="fr-FR"/>
        </w:rPr>
        <w:t>Le seuil d’acceptation à</w:t>
      </w:r>
      <w:r w:rsidR="001D377B">
        <w:rPr>
          <w:lang w:val="fr-FR"/>
        </w:rPr>
        <w:t xml:space="preserve"> </w:t>
      </w:r>
      <w:r w:rsidR="001D377B">
        <w:rPr>
          <w:i/>
          <w:lang w:val="fr-FR"/>
        </w:rPr>
        <w:t xml:space="preserve">Meta </w:t>
      </w:r>
      <w:r w:rsidR="001D377B">
        <w:rPr>
          <w:lang w:val="fr-FR"/>
        </w:rPr>
        <w:t xml:space="preserve">est élevé. </w:t>
      </w:r>
      <w:r w:rsidR="00111216">
        <w:rPr>
          <w:lang w:val="fr-FR"/>
        </w:rPr>
        <w:t xml:space="preserve">Le tableau ci-dessous montre la décision éditoriale habituelle en fonction des recommandations des évaluateurs. </w:t>
      </w:r>
      <w:r w:rsidR="00B06F65">
        <w:rPr>
          <w:lang w:val="fr-FR"/>
        </w:rPr>
        <w:t>À noter que l</w:t>
      </w:r>
      <w:r w:rsidR="00E72EB2">
        <w:rPr>
          <w:lang w:val="fr-FR"/>
        </w:rPr>
        <w:t>a revue n’accepte pas les articles nécessitant d</w:t>
      </w:r>
      <w:r w:rsidR="00B468C6">
        <w:rPr>
          <w:lang w:val="fr-FR"/>
        </w:rPr>
        <w:t>es corrections majeures.</w:t>
      </w:r>
    </w:p>
    <w:p w:rsidR="001D377B" w:rsidRDefault="001D377B" w:rsidP="009B66B8">
      <w:pPr>
        <w:pStyle w:val="NormalWeb"/>
        <w:spacing w:before="2" w:after="2"/>
        <w:rPr>
          <w:sz w:val="24"/>
          <w:lang w:val="fr-FR"/>
        </w:rPr>
      </w:pPr>
    </w:p>
    <w:tbl>
      <w:tblPr>
        <w:tblStyle w:val="Grilledutableau"/>
        <w:tblW w:w="0" w:type="auto"/>
        <w:jc w:val="center"/>
        <w:tblLook w:val="04A0" w:firstRow="1" w:lastRow="0" w:firstColumn="1" w:lastColumn="0" w:noHBand="0" w:noVBand="1"/>
      </w:tblPr>
      <w:tblGrid>
        <w:gridCol w:w="2682"/>
        <w:gridCol w:w="2682"/>
        <w:gridCol w:w="2682"/>
      </w:tblGrid>
      <w:tr w:rsidR="001D377B">
        <w:trPr>
          <w:jc w:val="center"/>
        </w:trPr>
        <w:tc>
          <w:tcPr>
            <w:tcW w:w="2682" w:type="dxa"/>
            <w:shd w:val="clear" w:color="auto" w:fill="D9D9D9" w:themeFill="background1" w:themeFillShade="D9"/>
            <w:vAlign w:val="center"/>
          </w:tcPr>
          <w:p w:rsidR="001D377B" w:rsidRPr="001D377B" w:rsidRDefault="001D377B" w:rsidP="001D377B">
            <w:pPr>
              <w:pStyle w:val="NormalWeb"/>
              <w:spacing w:before="2" w:after="2"/>
              <w:jc w:val="center"/>
              <w:rPr>
                <w:b/>
                <w:sz w:val="24"/>
                <w:lang w:val="fr-FR"/>
              </w:rPr>
            </w:pPr>
            <w:r w:rsidRPr="001D377B">
              <w:rPr>
                <w:b/>
                <w:sz w:val="24"/>
                <w:lang w:val="fr-FR"/>
              </w:rPr>
              <w:t>Évaluateur 1</w:t>
            </w:r>
          </w:p>
        </w:tc>
        <w:tc>
          <w:tcPr>
            <w:tcW w:w="2682" w:type="dxa"/>
            <w:shd w:val="clear" w:color="auto" w:fill="D9D9D9" w:themeFill="background1" w:themeFillShade="D9"/>
            <w:vAlign w:val="center"/>
          </w:tcPr>
          <w:p w:rsidR="001D377B" w:rsidRPr="001D377B" w:rsidRDefault="001D377B" w:rsidP="001D377B">
            <w:pPr>
              <w:pStyle w:val="NormalWeb"/>
              <w:spacing w:before="2" w:after="2"/>
              <w:jc w:val="center"/>
              <w:rPr>
                <w:b/>
                <w:sz w:val="24"/>
                <w:lang w:val="fr-FR"/>
              </w:rPr>
            </w:pPr>
            <w:r w:rsidRPr="001D377B">
              <w:rPr>
                <w:b/>
                <w:sz w:val="24"/>
                <w:lang w:val="fr-FR"/>
              </w:rPr>
              <w:t>Évaluateur 2</w:t>
            </w:r>
          </w:p>
        </w:tc>
        <w:tc>
          <w:tcPr>
            <w:tcW w:w="2682" w:type="dxa"/>
            <w:shd w:val="clear" w:color="auto" w:fill="D9D9D9" w:themeFill="background1" w:themeFillShade="D9"/>
            <w:vAlign w:val="center"/>
          </w:tcPr>
          <w:p w:rsidR="001D377B" w:rsidRPr="001D377B" w:rsidRDefault="001D377B" w:rsidP="001D377B">
            <w:pPr>
              <w:pStyle w:val="NormalWeb"/>
              <w:spacing w:before="2" w:after="2"/>
              <w:jc w:val="center"/>
              <w:rPr>
                <w:b/>
                <w:sz w:val="24"/>
                <w:lang w:val="fr-FR"/>
              </w:rPr>
            </w:pPr>
            <w:r w:rsidRPr="001D377B">
              <w:rPr>
                <w:b/>
                <w:sz w:val="24"/>
                <w:lang w:val="fr-FR"/>
              </w:rPr>
              <w:t>Décision finale</w:t>
            </w:r>
          </w:p>
        </w:tc>
      </w:tr>
      <w:tr w:rsidR="001D377B">
        <w:trPr>
          <w:jc w:val="center"/>
        </w:trPr>
        <w:tc>
          <w:tcPr>
            <w:tcW w:w="2682" w:type="dxa"/>
            <w:vAlign w:val="center"/>
          </w:tcPr>
          <w:p w:rsidR="001D377B" w:rsidRDefault="001D377B" w:rsidP="001D377B">
            <w:pPr>
              <w:pStyle w:val="NormalWeb"/>
              <w:spacing w:before="2" w:after="2"/>
              <w:jc w:val="center"/>
              <w:rPr>
                <w:sz w:val="24"/>
                <w:lang w:val="fr-FR"/>
              </w:rPr>
            </w:pPr>
            <w:r>
              <w:rPr>
                <w:sz w:val="24"/>
                <w:lang w:val="fr-FR"/>
              </w:rPr>
              <w:t>Corrections mineures</w:t>
            </w:r>
          </w:p>
        </w:tc>
        <w:tc>
          <w:tcPr>
            <w:tcW w:w="2682" w:type="dxa"/>
            <w:vAlign w:val="center"/>
          </w:tcPr>
          <w:p w:rsidR="001D377B" w:rsidRDefault="001D377B" w:rsidP="001D377B">
            <w:pPr>
              <w:pStyle w:val="NormalWeb"/>
              <w:spacing w:before="2" w:after="2"/>
              <w:jc w:val="center"/>
              <w:rPr>
                <w:sz w:val="24"/>
                <w:lang w:val="fr-FR"/>
              </w:rPr>
            </w:pPr>
            <w:r>
              <w:rPr>
                <w:sz w:val="24"/>
                <w:lang w:val="fr-FR"/>
              </w:rPr>
              <w:t>Corrections mineures</w:t>
            </w:r>
          </w:p>
        </w:tc>
        <w:tc>
          <w:tcPr>
            <w:tcW w:w="2682" w:type="dxa"/>
            <w:vAlign w:val="center"/>
          </w:tcPr>
          <w:p w:rsidR="001D377B" w:rsidRDefault="001D377B" w:rsidP="001D377B">
            <w:pPr>
              <w:pStyle w:val="NormalWeb"/>
              <w:spacing w:before="2" w:after="2"/>
              <w:jc w:val="center"/>
              <w:rPr>
                <w:sz w:val="24"/>
                <w:lang w:val="fr-FR"/>
              </w:rPr>
            </w:pPr>
            <w:r>
              <w:rPr>
                <w:sz w:val="24"/>
                <w:lang w:val="fr-FR"/>
              </w:rPr>
              <w:t>Acceptation</w:t>
            </w:r>
          </w:p>
        </w:tc>
      </w:tr>
      <w:tr w:rsidR="001D377B">
        <w:trPr>
          <w:jc w:val="center"/>
        </w:trPr>
        <w:tc>
          <w:tcPr>
            <w:tcW w:w="2682" w:type="dxa"/>
            <w:vAlign w:val="center"/>
          </w:tcPr>
          <w:p w:rsidR="001D377B" w:rsidRDefault="001D377B" w:rsidP="001D377B">
            <w:pPr>
              <w:pStyle w:val="NormalWeb"/>
              <w:spacing w:before="2" w:after="2"/>
              <w:jc w:val="center"/>
              <w:rPr>
                <w:sz w:val="24"/>
                <w:lang w:val="fr-FR"/>
              </w:rPr>
            </w:pPr>
            <w:r>
              <w:rPr>
                <w:sz w:val="24"/>
                <w:lang w:val="fr-FR"/>
              </w:rPr>
              <w:t>Corrections mineures</w:t>
            </w:r>
          </w:p>
        </w:tc>
        <w:tc>
          <w:tcPr>
            <w:tcW w:w="2682" w:type="dxa"/>
            <w:vAlign w:val="center"/>
          </w:tcPr>
          <w:p w:rsidR="001D377B" w:rsidRDefault="001D377B" w:rsidP="001D377B">
            <w:pPr>
              <w:pStyle w:val="NormalWeb"/>
              <w:spacing w:before="2" w:after="2"/>
              <w:jc w:val="center"/>
              <w:rPr>
                <w:sz w:val="24"/>
                <w:lang w:val="fr-FR"/>
              </w:rPr>
            </w:pPr>
            <w:r>
              <w:rPr>
                <w:sz w:val="24"/>
                <w:lang w:val="fr-FR"/>
              </w:rPr>
              <w:t>Corrections majeures</w:t>
            </w:r>
          </w:p>
        </w:tc>
        <w:tc>
          <w:tcPr>
            <w:tcW w:w="2682" w:type="dxa"/>
            <w:vAlign w:val="center"/>
          </w:tcPr>
          <w:p w:rsidR="001D377B" w:rsidRDefault="001D377B" w:rsidP="001D377B">
            <w:pPr>
              <w:pStyle w:val="NormalWeb"/>
              <w:spacing w:before="2" w:after="2"/>
              <w:jc w:val="center"/>
              <w:rPr>
                <w:sz w:val="24"/>
                <w:lang w:val="fr-FR"/>
              </w:rPr>
            </w:pPr>
            <w:r>
              <w:rPr>
                <w:sz w:val="24"/>
                <w:lang w:val="fr-FR"/>
              </w:rPr>
              <w:t>Acceptation possible</w:t>
            </w:r>
          </w:p>
        </w:tc>
      </w:tr>
      <w:tr w:rsidR="001D377B">
        <w:trPr>
          <w:jc w:val="center"/>
        </w:trPr>
        <w:tc>
          <w:tcPr>
            <w:tcW w:w="2682" w:type="dxa"/>
            <w:vAlign w:val="center"/>
          </w:tcPr>
          <w:p w:rsidR="001D377B" w:rsidRDefault="001D377B" w:rsidP="001D377B">
            <w:pPr>
              <w:pStyle w:val="NormalWeb"/>
              <w:spacing w:before="2" w:after="2"/>
              <w:jc w:val="center"/>
              <w:rPr>
                <w:sz w:val="24"/>
                <w:lang w:val="fr-FR"/>
              </w:rPr>
            </w:pPr>
            <w:r>
              <w:rPr>
                <w:sz w:val="24"/>
                <w:lang w:val="fr-FR"/>
              </w:rPr>
              <w:t>Corrections majeures</w:t>
            </w:r>
          </w:p>
        </w:tc>
        <w:tc>
          <w:tcPr>
            <w:tcW w:w="2682" w:type="dxa"/>
            <w:vAlign w:val="center"/>
          </w:tcPr>
          <w:p w:rsidR="001D377B" w:rsidRDefault="001D377B" w:rsidP="001D377B">
            <w:pPr>
              <w:pStyle w:val="NormalWeb"/>
              <w:spacing w:before="2" w:after="2"/>
              <w:jc w:val="center"/>
              <w:rPr>
                <w:sz w:val="24"/>
                <w:lang w:val="fr-FR"/>
              </w:rPr>
            </w:pPr>
            <w:r>
              <w:rPr>
                <w:sz w:val="24"/>
                <w:lang w:val="fr-FR"/>
              </w:rPr>
              <w:t>Corrections majeures</w:t>
            </w:r>
          </w:p>
        </w:tc>
        <w:tc>
          <w:tcPr>
            <w:tcW w:w="2682" w:type="dxa"/>
            <w:vAlign w:val="center"/>
          </w:tcPr>
          <w:p w:rsidR="001D377B" w:rsidRDefault="001D377B" w:rsidP="001D377B">
            <w:pPr>
              <w:pStyle w:val="NormalWeb"/>
              <w:spacing w:before="2" w:after="2"/>
              <w:jc w:val="center"/>
              <w:rPr>
                <w:sz w:val="24"/>
                <w:lang w:val="fr-FR"/>
              </w:rPr>
            </w:pPr>
            <w:r>
              <w:rPr>
                <w:sz w:val="24"/>
                <w:lang w:val="fr-FR"/>
              </w:rPr>
              <w:t>Rejet</w:t>
            </w:r>
          </w:p>
        </w:tc>
      </w:tr>
      <w:tr w:rsidR="001D377B">
        <w:trPr>
          <w:jc w:val="center"/>
        </w:trPr>
        <w:tc>
          <w:tcPr>
            <w:tcW w:w="2682" w:type="dxa"/>
            <w:vAlign w:val="center"/>
          </w:tcPr>
          <w:p w:rsidR="001D377B" w:rsidRDefault="001D377B" w:rsidP="001D377B">
            <w:pPr>
              <w:pStyle w:val="NormalWeb"/>
              <w:spacing w:before="2" w:after="2"/>
              <w:jc w:val="center"/>
              <w:rPr>
                <w:sz w:val="24"/>
                <w:lang w:val="fr-FR"/>
              </w:rPr>
            </w:pPr>
            <w:r>
              <w:rPr>
                <w:sz w:val="24"/>
                <w:lang w:val="fr-FR"/>
              </w:rPr>
              <w:t>Corrections majeures</w:t>
            </w:r>
          </w:p>
        </w:tc>
        <w:tc>
          <w:tcPr>
            <w:tcW w:w="2682" w:type="dxa"/>
            <w:vAlign w:val="center"/>
          </w:tcPr>
          <w:p w:rsidR="001D377B" w:rsidRDefault="001D377B" w:rsidP="001D377B">
            <w:pPr>
              <w:pStyle w:val="NormalWeb"/>
              <w:spacing w:before="2" w:after="2"/>
              <w:jc w:val="center"/>
              <w:rPr>
                <w:sz w:val="24"/>
                <w:lang w:val="fr-FR"/>
              </w:rPr>
            </w:pPr>
            <w:r>
              <w:rPr>
                <w:sz w:val="24"/>
                <w:lang w:val="fr-FR"/>
              </w:rPr>
              <w:t>À rejeter</w:t>
            </w:r>
          </w:p>
        </w:tc>
        <w:tc>
          <w:tcPr>
            <w:tcW w:w="2682" w:type="dxa"/>
            <w:vAlign w:val="center"/>
          </w:tcPr>
          <w:p w:rsidR="001D377B" w:rsidRDefault="001D377B" w:rsidP="001D377B">
            <w:pPr>
              <w:pStyle w:val="NormalWeb"/>
              <w:spacing w:before="2" w:after="2"/>
              <w:jc w:val="center"/>
              <w:rPr>
                <w:sz w:val="24"/>
                <w:lang w:val="fr-FR"/>
              </w:rPr>
            </w:pPr>
            <w:r>
              <w:rPr>
                <w:sz w:val="24"/>
                <w:lang w:val="fr-FR"/>
              </w:rPr>
              <w:t>Rejet</w:t>
            </w:r>
          </w:p>
        </w:tc>
      </w:tr>
      <w:tr w:rsidR="001D377B">
        <w:trPr>
          <w:jc w:val="center"/>
        </w:trPr>
        <w:tc>
          <w:tcPr>
            <w:tcW w:w="2682" w:type="dxa"/>
            <w:vAlign w:val="center"/>
          </w:tcPr>
          <w:p w:rsidR="001D377B" w:rsidRDefault="001D377B" w:rsidP="001D377B">
            <w:pPr>
              <w:pStyle w:val="NormalWeb"/>
              <w:spacing w:before="2" w:after="2"/>
              <w:jc w:val="center"/>
              <w:rPr>
                <w:sz w:val="24"/>
                <w:lang w:val="fr-FR"/>
              </w:rPr>
            </w:pPr>
            <w:r>
              <w:rPr>
                <w:sz w:val="24"/>
                <w:lang w:val="fr-FR"/>
              </w:rPr>
              <w:t>À rejeter</w:t>
            </w:r>
          </w:p>
        </w:tc>
        <w:tc>
          <w:tcPr>
            <w:tcW w:w="2682" w:type="dxa"/>
            <w:vAlign w:val="center"/>
          </w:tcPr>
          <w:p w:rsidR="001D377B" w:rsidRDefault="001D377B" w:rsidP="001D377B">
            <w:pPr>
              <w:pStyle w:val="NormalWeb"/>
              <w:spacing w:before="2" w:after="2"/>
              <w:jc w:val="center"/>
              <w:rPr>
                <w:sz w:val="24"/>
                <w:lang w:val="fr-FR"/>
              </w:rPr>
            </w:pPr>
            <w:r>
              <w:rPr>
                <w:sz w:val="24"/>
                <w:lang w:val="fr-FR"/>
              </w:rPr>
              <w:t>À rejeter</w:t>
            </w:r>
          </w:p>
        </w:tc>
        <w:tc>
          <w:tcPr>
            <w:tcW w:w="2682" w:type="dxa"/>
            <w:vAlign w:val="center"/>
          </w:tcPr>
          <w:p w:rsidR="001D377B" w:rsidRDefault="001D377B" w:rsidP="001D377B">
            <w:pPr>
              <w:pStyle w:val="NormalWeb"/>
              <w:spacing w:before="2" w:after="2"/>
              <w:jc w:val="center"/>
              <w:rPr>
                <w:sz w:val="24"/>
                <w:lang w:val="fr-FR"/>
              </w:rPr>
            </w:pPr>
            <w:r>
              <w:rPr>
                <w:sz w:val="24"/>
                <w:lang w:val="fr-FR"/>
              </w:rPr>
              <w:t>Rejet</w:t>
            </w:r>
          </w:p>
        </w:tc>
      </w:tr>
    </w:tbl>
    <w:p w:rsidR="00662569" w:rsidRDefault="00FF32CB" w:rsidP="00FF32CB">
      <w:pPr>
        <w:pStyle w:val="Meta16-Titre3"/>
      </w:pPr>
      <w:r>
        <w:t>3.2</w:t>
      </w:r>
      <w:r w:rsidR="00624E3A">
        <w:t>.</w:t>
      </w:r>
      <w:r>
        <w:t>4. Avis à l’auteur</w:t>
      </w:r>
    </w:p>
    <w:p w:rsidR="000405DA" w:rsidRDefault="00624E3A" w:rsidP="007B1E1D">
      <w:pPr>
        <w:pStyle w:val="Meta12-Premierparagraphe"/>
        <w:rPr>
          <w:lang w:val="fr-FR"/>
        </w:rPr>
      </w:pPr>
      <w:r>
        <w:rPr>
          <w:lang w:val="fr-FR"/>
        </w:rPr>
        <w:t>Le directeur invité avise l’auteur du résulta</w:t>
      </w:r>
      <w:r w:rsidR="000405DA">
        <w:rPr>
          <w:lang w:val="fr-FR"/>
        </w:rPr>
        <w:t xml:space="preserve">t de l’évaluation par courriel. Il doit joindre à son message les deux formulaires d’évaluation anonymes et la feuille de style de </w:t>
      </w:r>
      <w:r w:rsidR="000405DA">
        <w:rPr>
          <w:i/>
          <w:lang w:val="fr-FR"/>
        </w:rPr>
        <w:t>Meta</w:t>
      </w:r>
      <w:r w:rsidR="00DB7AFA">
        <w:rPr>
          <w:lang w:val="fr-FR"/>
        </w:rPr>
        <w:t>, et éventuellement l’article annoté par l’un ou l’autre des évaluateurs.</w:t>
      </w:r>
    </w:p>
    <w:p w:rsidR="000405DA" w:rsidRDefault="000405DA" w:rsidP="007B1E1D">
      <w:pPr>
        <w:pStyle w:val="Meta13-Autresparagraphes"/>
        <w:rPr>
          <w:lang w:val="fr-FR"/>
        </w:rPr>
      </w:pPr>
      <w:r>
        <w:rPr>
          <w:lang w:val="fr-FR"/>
        </w:rPr>
        <w:t xml:space="preserve">Puisque l’acceptation d’un article est toujours </w:t>
      </w:r>
      <w:r>
        <w:rPr>
          <w:u w:val="single"/>
          <w:lang w:val="fr-FR"/>
        </w:rPr>
        <w:t>conditionnelle</w:t>
      </w:r>
      <w:r>
        <w:rPr>
          <w:lang w:val="fr-FR"/>
        </w:rPr>
        <w:t xml:space="preserve">, le directeur invité demande à l’auteur de modifier son article à la lumière des commentaires des évaluateurs. Celui-ci accorde un délai de deux à trois mois à l’auteur pour remanier son texte. En plus de la version révisée de son article, l’auteur peut joindre une lettre de réponse aux évaluateurs, par exemple, pour contextualiser ses modifications ou pour se justifier </w:t>
      </w:r>
      <w:r w:rsidR="00326D98">
        <w:rPr>
          <w:lang w:val="fr-FR"/>
        </w:rPr>
        <w:t>s’il a choisi</w:t>
      </w:r>
      <w:r>
        <w:rPr>
          <w:lang w:val="fr-FR"/>
        </w:rPr>
        <w:t xml:space="preserve"> de ne pas prendre en compte certains commentaires. Le directeur rappelle également à l’auteur de s’assurer que son article respecte </w:t>
      </w:r>
      <w:r w:rsidR="00227B13">
        <w:rPr>
          <w:lang w:val="fr-FR"/>
        </w:rPr>
        <w:t xml:space="preserve">rigoureusement </w:t>
      </w:r>
      <w:r>
        <w:rPr>
          <w:lang w:val="fr-FR"/>
        </w:rPr>
        <w:t>la feuille de style de la revue.</w:t>
      </w:r>
    </w:p>
    <w:p w:rsidR="00624E3A" w:rsidRDefault="00FA3FC8" w:rsidP="00FA3FC8">
      <w:pPr>
        <w:pStyle w:val="Meta15-Titre2"/>
      </w:pPr>
      <w:r>
        <w:t>3.3. Gestion des articles acceptés</w:t>
      </w:r>
    </w:p>
    <w:p w:rsidR="00FA5CEE" w:rsidRDefault="00FA5CEE" w:rsidP="007B1E1D">
      <w:pPr>
        <w:pStyle w:val="Meta12-Premierparagraphe"/>
        <w:rPr>
          <w:lang w:val="fr-FR"/>
        </w:rPr>
      </w:pPr>
      <w:r>
        <w:rPr>
          <w:lang w:val="fr-FR"/>
        </w:rPr>
        <w:t>Les auteurs envoient leurs articles révisés au directeur invité au terme de l’échéance définie. Afin de s’assurer qu’ils sont maintenant publiables, les articles révisés doivent être vérifiés. Cette vérification peut être entreprise par le directeur invité</w:t>
      </w:r>
      <w:r w:rsidR="00DA6AD2">
        <w:rPr>
          <w:lang w:val="fr-FR"/>
        </w:rPr>
        <w:t xml:space="preserve"> lui-même</w:t>
      </w:r>
      <w:r>
        <w:rPr>
          <w:lang w:val="fr-FR"/>
        </w:rPr>
        <w:t xml:space="preserve">, </w:t>
      </w:r>
      <w:r w:rsidR="00B06F65">
        <w:rPr>
          <w:lang w:val="fr-FR"/>
        </w:rPr>
        <w:t xml:space="preserve">par </w:t>
      </w:r>
      <w:r>
        <w:rPr>
          <w:lang w:val="fr-FR"/>
        </w:rPr>
        <w:t xml:space="preserve">un membre de son comité scientifique ou </w:t>
      </w:r>
      <w:r w:rsidR="00B06F65">
        <w:rPr>
          <w:lang w:val="fr-FR"/>
        </w:rPr>
        <w:t xml:space="preserve">par </w:t>
      </w:r>
      <w:r>
        <w:rPr>
          <w:lang w:val="fr-FR"/>
        </w:rPr>
        <w:t>un des évaluateurs externes initiaux (</w:t>
      </w:r>
      <w:r w:rsidR="00EB34B0">
        <w:rPr>
          <w:lang w:val="fr-FR"/>
        </w:rPr>
        <w:t xml:space="preserve">particulièrement </w:t>
      </w:r>
      <w:r>
        <w:rPr>
          <w:lang w:val="fr-FR"/>
        </w:rPr>
        <w:t>dans le cas d’articles acceptés avec corrections mineures à majeures).</w:t>
      </w:r>
    </w:p>
    <w:p w:rsidR="009218C6" w:rsidRDefault="00FA5CEE" w:rsidP="007B1E1D">
      <w:pPr>
        <w:pStyle w:val="Meta13-Autresparagraphes"/>
        <w:rPr>
          <w:lang w:val="fr-FR"/>
        </w:rPr>
      </w:pPr>
      <w:r>
        <w:rPr>
          <w:lang w:val="fr-FR"/>
        </w:rPr>
        <w:lastRenderedPageBreak/>
        <w:t xml:space="preserve">Pour ce faire, le vérificateur doit s’assurer </w:t>
      </w:r>
      <w:r w:rsidRPr="007C1A5C">
        <w:rPr>
          <w:lang w:val="fr-FR"/>
        </w:rPr>
        <w:t>que les corrections demandées ont été intégrées</w:t>
      </w:r>
      <w:r>
        <w:rPr>
          <w:lang w:val="fr-FR"/>
        </w:rPr>
        <w:t xml:space="preserve"> de façon satisfaisante et déterminer </w:t>
      </w:r>
      <w:r w:rsidR="008F2D68">
        <w:t>si d’</w:t>
      </w:r>
      <w:r w:rsidR="009218C6">
        <w:t>autre</w:t>
      </w:r>
      <w:r>
        <w:t>s</w:t>
      </w:r>
      <w:r w:rsidR="009218C6">
        <w:t xml:space="preserve"> modifications sont nécessaires.</w:t>
      </w:r>
      <w:r>
        <w:t xml:space="preserve"> Il doit également vérifier </w:t>
      </w:r>
      <w:r w:rsidR="00B06F65">
        <w:t>que</w:t>
      </w:r>
      <w:r w:rsidR="009218C6">
        <w:t xml:space="preserve"> les articles cités</w:t>
      </w:r>
      <w:r>
        <w:t xml:space="preserve"> dans le corps du texte</w:t>
      </w:r>
      <w:r w:rsidR="009218C6">
        <w:t xml:space="preserve"> sont </w:t>
      </w:r>
      <w:r>
        <w:t>référencés</w:t>
      </w:r>
      <w:r w:rsidR="009218C6">
        <w:t xml:space="preserve"> dans la bibliograp</w:t>
      </w:r>
      <w:r w:rsidR="00B06F65">
        <w:t>hie, et réciproquement (que</w:t>
      </w:r>
      <w:r>
        <w:t xml:space="preserve"> les références présentes dans</w:t>
      </w:r>
      <w:r w:rsidR="009218C6">
        <w:t xml:space="preserve"> la bibliographie sont cité</w:t>
      </w:r>
      <w:r>
        <w:t>e</w:t>
      </w:r>
      <w:r w:rsidR="009218C6">
        <w:t>s dans le texte).</w:t>
      </w:r>
      <w:r w:rsidR="00DA6AD2">
        <w:t xml:space="preserve"> Si le vérificateur est satisfait des révisions, l’article est maintenant prêt à la publication. Si au contraire le vérificateur juge que d’autres modifications sont nécessaires, le vérificateur en informe le directeur invité, qui communiquera à l’auteur les </w:t>
      </w:r>
      <w:r w:rsidR="00DB7AFA">
        <w:t xml:space="preserve">dernières </w:t>
      </w:r>
      <w:r w:rsidR="00DA6AD2">
        <w:t xml:space="preserve">corrections à </w:t>
      </w:r>
      <w:r w:rsidR="00DB7AFA">
        <w:t>effectuer</w:t>
      </w:r>
      <w:r w:rsidR="00DA6AD2">
        <w:t>.</w:t>
      </w:r>
    </w:p>
    <w:p w:rsidR="009218C6" w:rsidRPr="00F0388D" w:rsidRDefault="00F0388D" w:rsidP="00F0388D">
      <w:pPr>
        <w:pStyle w:val="Meta15-Titre2"/>
      </w:pPr>
      <w:r>
        <w:t>3.4. Envoi des articles finaux à Meta</w:t>
      </w:r>
    </w:p>
    <w:p w:rsidR="00662569" w:rsidRPr="009A5DD5" w:rsidRDefault="009A5DD5" w:rsidP="007B1E1D">
      <w:pPr>
        <w:pStyle w:val="Meta12-Premierparagraphe"/>
        <w:rPr>
          <w:lang w:val="fr-FR"/>
        </w:rPr>
      </w:pPr>
      <w:r>
        <w:rPr>
          <w:lang w:val="fr-FR"/>
        </w:rPr>
        <w:t xml:space="preserve">Le directeur invité peut choisir d’envoyer les articles à </w:t>
      </w:r>
      <w:r>
        <w:rPr>
          <w:i/>
          <w:lang w:val="fr-FR"/>
        </w:rPr>
        <w:t>Meta</w:t>
      </w:r>
      <w:r>
        <w:rPr>
          <w:lang w:val="fr-FR"/>
        </w:rPr>
        <w:t xml:space="preserve"> au fur et à mesure que ceux-ci passent l’étape de vérification. Il peut également les envoyer en bloc</w:t>
      </w:r>
      <w:r w:rsidR="00E95A50">
        <w:rPr>
          <w:lang w:val="fr-FR"/>
        </w:rPr>
        <w:t>,</w:t>
      </w:r>
      <w:r>
        <w:rPr>
          <w:lang w:val="fr-FR"/>
        </w:rPr>
        <w:t xml:space="preserve"> une fois que tous les articles sont prêts. Dans les deux cas, la revue doit </w:t>
      </w:r>
      <w:r w:rsidR="009F0DA6">
        <w:rPr>
          <w:lang w:val="fr-FR"/>
        </w:rPr>
        <w:t>avoir reçu l’ensemble des</w:t>
      </w:r>
      <w:r>
        <w:rPr>
          <w:lang w:val="fr-FR"/>
        </w:rPr>
        <w:t xml:space="preserve"> articles un minimum de six mois avant la publication du numéro</w:t>
      </w:r>
      <w:r w:rsidR="00E95A50">
        <w:rPr>
          <w:lang w:val="fr-FR"/>
        </w:rPr>
        <w:t xml:space="preserve"> (en juin pour le numéro de décembre)</w:t>
      </w:r>
      <w:r>
        <w:rPr>
          <w:lang w:val="fr-FR"/>
        </w:rPr>
        <w:t>.</w:t>
      </w:r>
    </w:p>
    <w:p w:rsidR="00662569" w:rsidRPr="00203501" w:rsidRDefault="00203501" w:rsidP="00034B1C">
      <w:pPr>
        <w:pStyle w:val="Meta14-Titre1"/>
      </w:pPr>
      <w:r>
        <w:t xml:space="preserve">4. </w:t>
      </w:r>
      <w:r w:rsidR="00034B1C">
        <w:t>Bonnes pratiques éditoriales</w:t>
      </w:r>
    </w:p>
    <w:p w:rsidR="008F1735" w:rsidRDefault="008F1735" w:rsidP="007B1E1D">
      <w:pPr>
        <w:pStyle w:val="Meta12-Premierparagraphe"/>
        <w:rPr>
          <w:lang w:val="fr-FR"/>
        </w:rPr>
      </w:pPr>
      <w:r w:rsidRPr="00034B1C">
        <w:rPr>
          <w:i/>
          <w:lang w:val="fr-FR"/>
        </w:rPr>
        <w:t>Meta</w:t>
      </w:r>
      <w:r w:rsidRPr="0017654B">
        <w:rPr>
          <w:lang w:val="fr-FR"/>
        </w:rPr>
        <w:t xml:space="preserve"> veut s’assurer que les numéros spéciaux </w:t>
      </w:r>
      <w:r w:rsidR="00034B1C">
        <w:rPr>
          <w:lang w:val="fr-FR"/>
        </w:rPr>
        <w:t>procèdent</w:t>
      </w:r>
      <w:r w:rsidRPr="0017654B">
        <w:rPr>
          <w:lang w:val="fr-FR"/>
        </w:rPr>
        <w:t xml:space="preserve"> des mêmes standards de qualité et de rigueur que les numéros </w:t>
      </w:r>
      <w:r w:rsidR="00CA2795" w:rsidRPr="0017654B">
        <w:rPr>
          <w:lang w:val="fr-FR"/>
        </w:rPr>
        <w:t>réguliers.</w:t>
      </w:r>
      <w:r w:rsidR="00034B1C">
        <w:rPr>
          <w:lang w:val="fr-FR"/>
        </w:rPr>
        <w:t xml:space="preserve"> De ce fait, la revue enjoint aux directeurs </w:t>
      </w:r>
      <w:r w:rsidR="00E66AB6">
        <w:rPr>
          <w:lang w:val="fr-FR"/>
        </w:rPr>
        <w:t xml:space="preserve">invités </w:t>
      </w:r>
      <w:r w:rsidR="00034B1C">
        <w:rPr>
          <w:lang w:val="fr-FR"/>
        </w:rPr>
        <w:t xml:space="preserve">de respecter les étapes </w:t>
      </w:r>
      <w:r w:rsidR="00034B1C" w:rsidRPr="0017654B">
        <w:rPr>
          <w:lang w:val="fr-FR"/>
        </w:rPr>
        <w:t>susmentionnées</w:t>
      </w:r>
      <w:r w:rsidR="00034B1C">
        <w:rPr>
          <w:lang w:val="fr-FR"/>
        </w:rPr>
        <w:t>.</w:t>
      </w:r>
      <w:r w:rsidR="00E66AB6">
        <w:rPr>
          <w:lang w:val="fr-FR"/>
        </w:rPr>
        <w:t xml:space="preserve"> </w:t>
      </w:r>
      <w:r w:rsidR="0056505C">
        <w:rPr>
          <w:lang w:val="fr-FR"/>
        </w:rPr>
        <w:t>Par souci de transparence, c</w:t>
      </w:r>
      <w:r w:rsidR="00E66AB6">
        <w:rPr>
          <w:lang w:val="fr-FR"/>
        </w:rPr>
        <w:t xml:space="preserve">eux-ci doivent également mettre </w:t>
      </w:r>
      <w:r w:rsidR="00E66AB6">
        <w:rPr>
          <w:i/>
          <w:lang w:val="fr-FR"/>
        </w:rPr>
        <w:t>Meta</w:t>
      </w:r>
      <w:r w:rsidR="00E66AB6">
        <w:rPr>
          <w:lang w:val="fr-FR"/>
        </w:rPr>
        <w:t xml:space="preserve"> en copie de toute correspondance relative au numéro spécial</w:t>
      </w:r>
      <w:r w:rsidR="00B959A7">
        <w:rPr>
          <w:lang w:val="fr-FR"/>
        </w:rPr>
        <w:t xml:space="preserve"> (de l’appel à contributions à l’envoi des articles finaux)</w:t>
      </w:r>
      <w:r w:rsidR="00E66AB6">
        <w:rPr>
          <w:lang w:val="fr-FR"/>
        </w:rPr>
        <w:t xml:space="preserve"> et inviter les auteurs à faire de même</w:t>
      </w:r>
      <w:r w:rsidR="00B959A7">
        <w:rPr>
          <w:lang w:val="fr-FR"/>
        </w:rPr>
        <w:t>.</w:t>
      </w:r>
      <w:r w:rsidR="00D406D4">
        <w:rPr>
          <w:lang w:val="fr-FR"/>
        </w:rPr>
        <w:t xml:space="preserve"> </w:t>
      </w:r>
      <w:r w:rsidR="00227B13">
        <w:rPr>
          <w:lang w:val="fr-FR"/>
        </w:rPr>
        <w:t>En outre</w:t>
      </w:r>
      <w:r w:rsidR="002B7F9E">
        <w:rPr>
          <w:lang w:val="fr-FR"/>
        </w:rPr>
        <w:t xml:space="preserve">, la revue doit avoir accès aux formulaires d’évaluation originaux et connaître l’identité des évaluateurs. </w:t>
      </w:r>
      <w:r w:rsidR="008012BD">
        <w:rPr>
          <w:i/>
          <w:lang w:val="fr-FR"/>
        </w:rPr>
        <w:t>Meta</w:t>
      </w:r>
      <w:r w:rsidR="008012BD">
        <w:rPr>
          <w:lang w:val="fr-FR"/>
        </w:rPr>
        <w:t xml:space="preserve"> se réserve le droit d’intervenir si un évaluateur est jugé inapte à entreprendre l’évaluation d’un article ou si un rapport d’évaluation est jugé insuffisant ou incomplet.</w:t>
      </w:r>
    </w:p>
    <w:p w:rsidR="00A32EF0" w:rsidRDefault="00A32EF0" w:rsidP="007B1E1D">
      <w:pPr>
        <w:pStyle w:val="Meta13-Autresparagraphes"/>
        <w:rPr>
          <w:lang w:val="fr-FR" w:eastAsia="fr-CA"/>
        </w:rPr>
      </w:pPr>
      <w:r>
        <w:rPr>
          <w:lang w:val="fr-FR"/>
        </w:rPr>
        <w:t xml:space="preserve">Par ailleurs, la revue </w:t>
      </w:r>
      <w:r>
        <w:rPr>
          <w:i/>
          <w:lang w:val="fr-FR"/>
        </w:rPr>
        <w:t>Meta</w:t>
      </w:r>
      <w:r>
        <w:rPr>
          <w:lang w:val="fr-FR"/>
        </w:rPr>
        <w:t xml:space="preserve"> se conforme au code d’éthique établi par les organismes subventionnaires canadiens. Ainsi, elle </w:t>
      </w:r>
      <w:r w:rsidRPr="00A32EF0">
        <w:rPr>
          <w:lang w:val="fr-FR" w:eastAsia="fr-CA"/>
        </w:rPr>
        <w:t>ne pub</w:t>
      </w:r>
      <w:r>
        <w:rPr>
          <w:lang w:val="fr-FR" w:eastAsia="fr-CA"/>
        </w:rPr>
        <w:t>lie que des articles originaux. L’</w:t>
      </w:r>
      <w:r w:rsidRPr="00A32EF0">
        <w:rPr>
          <w:lang w:val="fr-FR" w:eastAsia="fr-CA"/>
        </w:rPr>
        <w:t xml:space="preserve">acceptation de publication suppose </w:t>
      </w:r>
      <w:r>
        <w:rPr>
          <w:lang w:val="fr-FR" w:eastAsia="fr-CA"/>
        </w:rPr>
        <w:t>donc que l’article n’a pas été, ou ne</w:t>
      </w:r>
      <w:r w:rsidRPr="00A32EF0">
        <w:rPr>
          <w:lang w:val="fr-FR" w:eastAsia="fr-CA"/>
        </w:rPr>
        <w:t xml:space="preserve"> sera pas</w:t>
      </w:r>
      <w:r>
        <w:rPr>
          <w:lang w:val="fr-FR" w:eastAsia="fr-CA"/>
        </w:rPr>
        <w:t>,</w:t>
      </w:r>
      <w:r w:rsidRPr="00A32EF0">
        <w:rPr>
          <w:lang w:val="fr-FR" w:eastAsia="fr-CA"/>
        </w:rPr>
        <w:t xml:space="preserve"> publié</w:t>
      </w:r>
      <w:r>
        <w:rPr>
          <w:lang w:val="fr-FR" w:eastAsia="fr-CA"/>
        </w:rPr>
        <w:t xml:space="preserve"> ailleurs, en tout ou en partie</w:t>
      </w:r>
      <w:r w:rsidRPr="00A32EF0">
        <w:rPr>
          <w:lang w:val="fr-FR" w:eastAsia="fr-CA"/>
        </w:rPr>
        <w:t xml:space="preserve">. </w:t>
      </w:r>
      <w:r>
        <w:rPr>
          <w:lang w:val="fr-FR" w:eastAsia="fr-CA"/>
        </w:rPr>
        <w:t xml:space="preserve">Les </w:t>
      </w:r>
      <w:r w:rsidRPr="00A32EF0">
        <w:rPr>
          <w:lang w:val="fr-FR" w:eastAsia="fr-CA"/>
        </w:rPr>
        <w:t xml:space="preserve">articles déjà soumis ou </w:t>
      </w:r>
      <w:r>
        <w:rPr>
          <w:lang w:val="fr-FR" w:eastAsia="fr-CA"/>
        </w:rPr>
        <w:t>publié</w:t>
      </w:r>
      <w:r w:rsidR="00DB7AFA">
        <w:rPr>
          <w:lang w:val="fr-FR" w:eastAsia="fr-CA"/>
        </w:rPr>
        <w:t>s</w:t>
      </w:r>
      <w:r w:rsidRPr="00A32EF0">
        <w:rPr>
          <w:lang w:val="fr-FR" w:eastAsia="fr-CA"/>
        </w:rPr>
        <w:t xml:space="preserve"> ailleurs </w:t>
      </w:r>
      <w:r>
        <w:rPr>
          <w:lang w:val="fr-FR" w:eastAsia="fr-CA"/>
        </w:rPr>
        <w:t>seront automatiquement rejetés,</w:t>
      </w:r>
      <w:r w:rsidR="009F0DA6">
        <w:rPr>
          <w:lang w:val="fr-FR" w:eastAsia="fr-CA"/>
        </w:rPr>
        <w:t xml:space="preserve"> et ce,</w:t>
      </w:r>
      <w:r>
        <w:rPr>
          <w:lang w:val="fr-FR" w:eastAsia="fr-CA"/>
        </w:rPr>
        <w:t xml:space="preserve"> à n’importe qu’elle étape du processus éditorial.</w:t>
      </w:r>
    </w:p>
    <w:p w:rsidR="00A32EF0" w:rsidRDefault="00A32EF0">
      <w:pPr>
        <w:rPr>
          <w:rFonts w:ascii="Times" w:eastAsia="Times" w:hAnsi="Times"/>
          <w:szCs w:val="20"/>
          <w:lang w:val="fr-FR" w:eastAsia="fr-CA"/>
        </w:rPr>
      </w:pPr>
    </w:p>
    <w:p w:rsidR="00A32EF0" w:rsidRDefault="00A32EF0">
      <w:pPr>
        <w:rPr>
          <w:lang w:val="fr-FR"/>
        </w:rPr>
      </w:pPr>
    </w:p>
    <w:p w:rsidR="00FF32CB" w:rsidRDefault="00FF32CB">
      <w:pPr>
        <w:rPr>
          <w:lang w:val="fr-FR"/>
        </w:rPr>
      </w:pPr>
    </w:p>
    <w:p w:rsidR="00FF32CB" w:rsidRDefault="00FF32CB">
      <w:pPr>
        <w:rPr>
          <w:lang w:val="fr-FR"/>
        </w:rPr>
      </w:pPr>
    </w:p>
    <w:p w:rsidR="00FF32CB" w:rsidRPr="0017654B" w:rsidRDefault="00FF32CB">
      <w:pPr>
        <w:rPr>
          <w:lang w:val="fr-FR"/>
        </w:rPr>
      </w:pPr>
    </w:p>
    <w:p w:rsidR="003F230C" w:rsidRPr="0017654B" w:rsidRDefault="003F230C" w:rsidP="00DF726D">
      <w:pPr>
        <w:jc w:val="center"/>
        <w:rPr>
          <w:i/>
          <w:lang w:val="fr-FR"/>
        </w:rPr>
      </w:pPr>
      <w:r w:rsidRPr="0017654B">
        <w:rPr>
          <w:i/>
          <w:lang w:val="fr-FR"/>
        </w:rPr>
        <w:t>Nous vous re</w:t>
      </w:r>
      <w:r w:rsidR="00C67E35" w:rsidRPr="0017654B">
        <w:rPr>
          <w:i/>
          <w:lang w:val="fr-FR"/>
        </w:rPr>
        <w:t>mercions de votre collaboration</w:t>
      </w:r>
      <w:r w:rsidR="00F2256E" w:rsidRPr="0017654B">
        <w:rPr>
          <w:i/>
          <w:lang w:val="fr-FR"/>
        </w:rPr>
        <w:t>.</w:t>
      </w:r>
    </w:p>
    <w:sectPr w:rsidR="003F230C" w:rsidRPr="0017654B" w:rsidSect="00785ECE">
      <w:headerReference w:type="default" r:id="rId7"/>
      <w:footerReference w:type="even" r:id="rId8"/>
      <w:footerReference w:type="default" r:id="rId9"/>
      <w:pgSz w:w="12240" w:h="15840"/>
      <w:pgMar w:top="226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E4A" w:rsidRDefault="00962E4A">
      <w:r>
        <w:separator/>
      </w:r>
    </w:p>
  </w:endnote>
  <w:endnote w:type="continuationSeparator" w:id="0">
    <w:p w:rsidR="00962E4A" w:rsidRDefault="00962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ppleMyungjo">
    <w:charset w:val="4F"/>
    <w:family w:val="auto"/>
    <w:pitch w:val="variable"/>
    <w:sig w:usb0="00000001" w:usb1="00000000" w:usb2="01002406" w:usb3="00000000" w:csb0="0008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96C" w:rsidRDefault="0015462E" w:rsidP="00E0512B">
    <w:pPr>
      <w:pStyle w:val="Pieddepage"/>
      <w:framePr w:wrap="around" w:vAnchor="text" w:hAnchor="margin" w:xAlign="right" w:y="1"/>
      <w:rPr>
        <w:rStyle w:val="Numrodepage"/>
      </w:rPr>
    </w:pPr>
    <w:r>
      <w:rPr>
        <w:rStyle w:val="Numrodepage"/>
      </w:rPr>
      <w:fldChar w:fldCharType="begin"/>
    </w:r>
    <w:r w:rsidR="0037796C">
      <w:rPr>
        <w:rStyle w:val="Numrodepage"/>
      </w:rPr>
      <w:instrText xml:space="preserve">PAGE  </w:instrText>
    </w:r>
    <w:r>
      <w:rPr>
        <w:rStyle w:val="Numrodepage"/>
      </w:rPr>
      <w:fldChar w:fldCharType="end"/>
    </w:r>
  </w:p>
  <w:p w:rsidR="0037796C" w:rsidRDefault="0037796C" w:rsidP="00E0512B">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96C" w:rsidRDefault="0015462E" w:rsidP="00E0512B">
    <w:pPr>
      <w:pStyle w:val="Pieddepage"/>
      <w:framePr w:wrap="around" w:vAnchor="text" w:hAnchor="margin" w:xAlign="right" w:y="1"/>
      <w:rPr>
        <w:rStyle w:val="Numrodepage"/>
      </w:rPr>
    </w:pPr>
    <w:r>
      <w:rPr>
        <w:rStyle w:val="Numrodepage"/>
      </w:rPr>
      <w:fldChar w:fldCharType="begin"/>
    </w:r>
    <w:r w:rsidR="0037796C">
      <w:rPr>
        <w:rStyle w:val="Numrodepage"/>
      </w:rPr>
      <w:instrText xml:space="preserve">PAGE  </w:instrText>
    </w:r>
    <w:r>
      <w:rPr>
        <w:rStyle w:val="Numrodepage"/>
      </w:rPr>
      <w:fldChar w:fldCharType="separate"/>
    </w:r>
    <w:r w:rsidR="00C53CFF">
      <w:rPr>
        <w:rStyle w:val="Numrodepage"/>
        <w:noProof/>
      </w:rPr>
      <w:t>1</w:t>
    </w:r>
    <w:r>
      <w:rPr>
        <w:rStyle w:val="Numrodepage"/>
      </w:rPr>
      <w:fldChar w:fldCharType="end"/>
    </w:r>
  </w:p>
  <w:p w:rsidR="0037796C" w:rsidRDefault="0037796C" w:rsidP="00E0512B">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E4A" w:rsidRDefault="00962E4A">
      <w:r>
        <w:separator/>
      </w:r>
    </w:p>
  </w:footnote>
  <w:footnote w:type="continuationSeparator" w:id="0">
    <w:p w:rsidR="00962E4A" w:rsidRDefault="00962E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96C" w:rsidRDefault="0037796C">
    <w:pPr>
      <w:pStyle w:val="En-tte"/>
    </w:pPr>
    <w:r w:rsidRPr="00E0512B">
      <w:rPr>
        <w:noProof/>
        <w:lang w:eastAsia="fr-CA"/>
      </w:rPr>
      <w:drawing>
        <wp:anchor distT="0" distB="0" distL="114300" distR="114300" simplePos="0" relativeHeight="251658240" behindDoc="0" locked="0" layoutInCell="1" allowOverlap="1">
          <wp:simplePos x="0" y="0"/>
          <wp:positionH relativeFrom="column">
            <wp:posOffset>22225</wp:posOffset>
          </wp:positionH>
          <wp:positionV relativeFrom="paragraph">
            <wp:posOffset>0</wp:posOffset>
          </wp:positionV>
          <wp:extent cx="2354580" cy="770467"/>
          <wp:effectExtent l="25400" t="0" r="7620" b="0"/>
          <wp:wrapTight wrapText="bothSides">
            <wp:wrapPolygon edited="0">
              <wp:start x="-233" y="0"/>
              <wp:lineTo x="-233" y="21363"/>
              <wp:lineTo x="21670" y="21363"/>
              <wp:lineTo x="21670" y="0"/>
              <wp:lineTo x="-23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4580" cy="770467"/>
                  </a:xfrm>
                  <a:prstGeom prst="rect">
                    <a:avLst/>
                  </a:prstGeom>
                  <a:noFill/>
                  <a:ln>
                    <a:noFill/>
                  </a:ln>
                </pic:spPr>
              </pic:pic>
            </a:graphicData>
          </a:graphic>
        </wp:anchor>
      </w:drawing>
    </w:r>
    <w:r>
      <w:t xml:space="preserve">                                             </w:t>
    </w:r>
  </w:p>
  <w:p w:rsidR="0037796C" w:rsidRDefault="0037796C">
    <w:pPr>
      <w:pStyle w:val="En-tte"/>
    </w:pPr>
  </w:p>
  <w:p w:rsidR="0037796C" w:rsidRDefault="0037796C">
    <w:pPr>
      <w:pStyle w:val="En-tte"/>
    </w:pPr>
  </w:p>
  <w:p w:rsidR="0037796C" w:rsidRPr="00E0512B" w:rsidRDefault="0037796C" w:rsidP="00E0512B">
    <w:pPr>
      <w:pStyle w:val="En-tte"/>
      <w:tabs>
        <w:tab w:val="clear" w:pos="4536"/>
        <w:tab w:val="clear" w:pos="9072"/>
      </w:tabs>
      <w:ind w:left="3540" w:firstLine="708"/>
      <w:rPr>
        <w:b/>
        <w:u w:val="single"/>
      </w:rPr>
    </w:pPr>
    <w:r w:rsidRPr="00E0512B">
      <w:rPr>
        <w:b/>
        <w:u w:val="single"/>
      </w:rPr>
      <w:t>Instructions aux directeurs de numéros spéciaux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FB42C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504A7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75080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306449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040269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676437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0B03D0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51E317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3E6F1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904297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99E0C5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E4B9C"/>
    <w:multiLevelType w:val="hybridMultilevel"/>
    <w:tmpl w:val="A9F80C30"/>
    <w:lvl w:ilvl="0" w:tplc="04090017">
      <w:start w:val="1"/>
      <w:numFmt w:val="lowerLetter"/>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2" w15:restartNumberingAfterBreak="0">
    <w:nsid w:val="01AF472D"/>
    <w:multiLevelType w:val="multilevel"/>
    <w:tmpl w:val="7774429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7"/>
        </w:tabs>
        <w:ind w:left="1077" w:hanging="360"/>
      </w:pPr>
      <w:rPr>
        <w:rFonts w:hint="default"/>
      </w:rPr>
    </w:lvl>
    <w:lvl w:ilvl="2">
      <w:start w:val="1"/>
      <w:numFmt w:val="decimal"/>
      <w:lvlText w:val="%1.%2.%3"/>
      <w:lvlJc w:val="left"/>
      <w:pPr>
        <w:tabs>
          <w:tab w:val="num" w:pos="2154"/>
        </w:tabs>
        <w:ind w:left="2154" w:hanging="720"/>
      </w:pPr>
      <w:rPr>
        <w:rFonts w:hint="default"/>
      </w:rPr>
    </w:lvl>
    <w:lvl w:ilvl="3">
      <w:start w:val="1"/>
      <w:numFmt w:val="decimal"/>
      <w:lvlText w:val="%1.%2.%3.%4"/>
      <w:lvlJc w:val="left"/>
      <w:pPr>
        <w:tabs>
          <w:tab w:val="num" w:pos="2871"/>
        </w:tabs>
        <w:ind w:left="2871" w:hanging="720"/>
      </w:pPr>
      <w:rPr>
        <w:rFonts w:hint="default"/>
      </w:rPr>
    </w:lvl>
    <w:lvl w:ilvl="4">
      <w:start w:val="1"/>
      <w:numFmt w:val="decimal"/>
      <w:lvlText w:val="%1.%2.%3.%4.%5"/>
      <w:lvlJc w:val="left"/>
      <w:pPr>
        <w:tabs>
          <w:tab w:val="num" w:pos="3948"/>
        </w:tabs>
        <w:ind w:left="3948" w:hanging="1080"/>
      </w:pPr>
      <w:rPr>
        <w:rFonts w:hint="default"/>
      </w:rPr>
    </w:lvl>
    <w:lvl w:ilvl="5">
      <w:start w:val="1"/>
      <w:numFmt w:val="decimal"/>
      <w:lvlText w:val="%1.%2.%3.%4.%5.%6"/>
      <w:lvlJc w:val="left"/>
      <w:pPr>
        <w:tabs>
          <w:tab w:val="num" w:pos="4665"/>
        </w:tabs>
        <w:ind w:left="4665" w:hanging="1080"/>
      </w:pPr>
      <w:rPr>
        <w:rFonts w:hint="default"/>
      </w:rPr>
    </w:lvl>
    <w:lvl w:ilvl="6">
      <w:start w:val="1"/>
      <w:numFmt w:val="decimal"/>
      <w:lvlText w:val="%1.%2.%3.%4.%5.%6.%7"/>
      <w:lvlJc w:val="left"/>
      <w:pPr>
        <w:tabs>
          <w:tab w:val="num" w:pos="5742"/>
        </w:tabs>
        <w:ind w:left="5742" w:hanging="1440"/>
      </w:pPr>
      <w:rPr>
        <w:rFonts w:hint="default"/>
      </w:rPr>
    </w:lvl>
    <w:lvl w:ilvl="7">
      <w:start w:val="1"/>
      <w:numFmt w:val="decimal"/>
      <w:lvlText w:val="%1.%2.%3.%4.%5.%6.%7.%8"/>
      <w:lvlJc w:val="left"/>
      <w:pPr>
        <w:tabs>
          <w:tab w:val="num" w:pos="6459"/>
        </w:tabs>
        <w:ind w:left="6459" w:hanging="1440"/>
      </w:pPr>
      <w:rPr>
        <w:rFonts w:hint="default"/>
      </w:rPr>
    </w:lvl>
    <w:lvl w:ilvl="8">
      <w:start w:val="1"/>
      <w:numFmt w:val="decimal"/>
      <w:lvlText w:val="%1.%2.%3.%4.%5.%6.%7.%8.%9"/>
      <w:lvlJc w:val="left"/>
      <w:pPr>
        <w:tabs>
          <w:tab w:val="num" w:pos="7536"/>
        </w:tabs>
        <w:ind w:left="7536" w:hanging="1800"/>
      </w:pPr>
      <w:rPr>
        <w:rFonts w:hint="default"/>
      </w:rPr>
    </w:lvl>
  </w:abstractNum>
  <w:abstractNum w:abstractNumId="13" w15:restartNumberingAfterBreak="0">
    <w:nsid w:val="042A6944"/>
    <w:multiLevelType w:val="hybridMultilevel"/>
    <w:tmpl w:val="5994EE9E"/>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856588"/>
    <w:multiLevelType w:val="hybridMultilevel"/>
    <w:tmpl w:val="BB9241E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5" w15:restartNumberingAfterBreak="0">
    <w:nsid w:val="16101927"/>
    <w:multiLevelType w:val="hybridMultilevel"/>
    <w:tmpl w:val="A824E9C6"/>
    <w:lvl w:ilvl="0" w:tplc="E70C61C6">
      <w:start w:val="1"/>
      <w:numFmt w:val="decimal"/>
      <w:lvlText w:val="(%1)"/>
      <w:lvlJc w:val="left"/>
      <w:pPr>
        <w:ind w:left="717" w:hanging="360"/>
      </w:pPr>
      <w:rPr>
        <w:rFonts w:hint="default"/>
      </w:rPr>
    </w:lvl>
    <w:lvl w:ilvl="1" w:tplc="040C0019" w:tentative="1">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16" w15:restartNumberingAfterBreak="0">
    <w:nsid w:val="18E01001"/>
    <w:multiLevelType w:val="hybridMultilevel"/>
    <w:tmpl w:val="AFCCA29C"/>
    <w:lvl w:ilvl="0" w:tplc="FFFFFFFF">
      <w:start w:val="2"/>
      <w:numFmt w:val="bullet"/>
      <w:lvlText w:val="-"/>
      <w:lvlJc w:val="left"/>
      <w:pPr>
        <w:tabs>
          <w:tab w:val="num" w:pos="720"/>
        </w:tabs>
        <w:ind w:left="720" w:hanging="360"/>
      </w:pPr>
      <w:rPr>
        <w:rFonts w:ascii="Times New Roman" w:eastAsia="Times"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A57BCF"/>
    <w:multiLevelType w:val="hybridMultilevel"/>
    <w:tmpl w:val="D84C5DFC"/>
    <w:lvl w:ilvl="0" w:tplc="C4B01F8C">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840"/>
        </w:tabs>
        <w:ind w:left="840" w:hanging="420"/>
      </w:pPr>
    </w:lvl>
    <w:lvl w:ilvl="2" w:tplc="040C001B" w:tentative="1">
      <w:start w:val="1"/>
      <w:numFmt w:val="lowerRoman"/>
      <w:lvlText w:val="%3."/>
      <w:lvlJc w:val="right"/>
      <w:pPr>
        <w:tabs>
          <w:tab w:val="num" w:pos="1260"/>
        </w:tabs>
        <w:ind w:left="1260" w:hanging="420"/>
      </w:pPr>
    </w:lvl>
    <w:lvl w:ilvl="3" w:tplc="040C000F" w:tentative="1">
      <w:start w:val="1"/>
      <w:numFmt w:val="decimal"/>
      <w:lvlText w:val="%4."/>
      <w:lvlJc w:val="left"/>
      <w:pPr>
        <w:tabs>
          <w:tab w:val="num" w:pos="1680"/>
        </w:tabs>
        <w:ind w:left="1680" w:hanging="420"/>
      </w:pPr>
    </w:lvl>
    <w:lvl w:ilvl="4" w:tplc="040C0019" w:tentative="1">
      <w:start w:val="1"/>
      <w:numFmt w:val="lowerLetter"/>
      <w:lvlText w:val="%5)"/>
      <w:lvlJc w:val="left"/>
      <w:pPr>
        <w:tabs>
          <w:tab w:val="num" w:pos="2100"/>
        </w:tabs>
        <w:ind w:left="2100" w:hanging="420"/>
      </w:pPr>
    </w:lvl>
    <w:lvl w:ilvl="5" w:tplc="040C001B" w:tentative="1">
      <w:start w:val="1"/>
      <w:numFmt w:val="lowerRoman"/>
      <w:lvlText w:val="%6."/>
      <w:lvlJc w:val="right"/>
      <w:pPr>
        <w:tabs>
          <w:tab w:val="num" w:pos="2520"/>
        </w:tabs>
        <w:ind w:left="2520" w:hanging="420"/>
      </w:pPr>
    </w:lvl>
    <w:lvl w:ilvl="6" w:tplc="040C000F" w:tentative="1">
      <w:start w:val="1"/>
      <w:numFmt w:val="decimal"/>
      <w:lvlText w:val="%7."/>
      <w:lvlJc w:val="left"/>
      <w:pPr>
        <w:tabs>
          <w:tab w:val="num" w:pos="2940"/>
        </w:tabs>
        <w:ind w:left="2940" w:hanging="420"/>
      </w:pPr>
    </w:lvl>
    <w:lvl w:ilvl="7" w:tplc="040C0019" w:tentative="1">
      <w:start w:val="1"/>
      <w:numFmt w:val="lowerLetter"/>
      <w:lvlText w:val="%8)"/>
      <w:lvlJc w:val="left"/>
      <w:pPr>
        <w:tabs>
          <w:tab w:val="num" w:pos="3360"/>
        </w:tabs>
        <w:ind w:left="3360" w:hanging="420"/>
      </w:pPr>
    </w:lvl>
    <w:lvl w:ilvl="8" w:tplc="040C001B" w:tentative="1">
      <w:start w:val="1"/>
      <w:numFmt w:val="lowerRoman"/>
      <w:lvlText w:val="%9."/>
      <w:lvlJc w:val="right"/>
      <w:pPr>
        <w:tabs>
          <w:tab w:val="num" w:pos="3780"/>
        </w:tabs>
        <w:ind w:left="3780" w:hanging="420"/>
      </w:pPr>
    </w:lvl>
  </w:abstractNum>
  <w:abstractNum w:abstractNumId="18" w15:restartNumberingAfterBreak="0">
    <w:nsid w:val="36C02AA0"/>
    <w:multiLevelType w:val="multilevel"/>
    <w:tmpl w:val="5994EE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C06B94"/>
    <w:multiLevelType w:val="hybridMultilevel"/>
    <w:tmpl w:val="B3EE6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AC6FAB"/>
    <w:multiLevelType w:val="hybridMultilevel"/>
    <w:tmpl w:val="9AF2BF0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1" w15:restartNumberingAfterBreak="0">
    <w:nsid w:val="4F635152"/>
    <w:multiLevelType w:val="hybridMultilevel"/>
    <w:tmpl w:val="0016AF9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402DC5"/>
    <w:multiLevelType w:val="hybridMultilevel"/>
    <w:tmpl w:val="F9C4834A"/>
    <w:lvl w:ilvl="0" w:tplc="000F040C">
      <w:start w:val="1"/>
      <w:numFmt w:val="decimal"/>
      <w:lvlText w:val="%1."/>
      <w:lvlJc w:val="left"/>
      <w:pPr>
        <w:tabs>
          <w:tab w:val="num" w:pos="720"/>
        </w:tabs>
        <w:ind w:left="720" w:hanging="36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3" w15:restartNumberingAfterBreak="0">
    <w:nsid w:val="6C63609E"/>
    <w:multiLevelType w:val="hybridMultilevel"/>
    <w:tmpl w:val="EBC8E4E4"/>
    <w:lvl w:ilvl="0" w:tplc="04090001">
      <w:start w:val="1"/>
      <w:numFmt w:val="decimal"/>
      <w:lvlText w:val="(%1)"/>
      <w:lvlJc w:val="left"/>
      <w:pPr>
        <w:ind w:left="717" w:hanging="360"/>
      </w:pPr>
      <w:rPr>
        <w:rFonts w:hint="default"/>
      </w:rPr>
    </w:lvl>
    <w:lvl w:ilvl="1" w:tplc="04090003" w:tentative="1">
      <w:start w:val="1"/>
      <w:numFmt w:val="lowerLetter"/>
      <w:lvlText w:val="%2."/>
      <w:lvlJc w:val="left"/>
      <w:pPr>
        <w:ind w:left="1437" w:hanging="360"/>
      </w:pPr>
    </w:lvl>
    <w:lvl w:ilvl="2" w:tplc="04090005" w:tentative="1">
      <w:start w:val="1"/>
      <w:numFmt w:val="lowerRoman"/>
      <w:lvlText w:val="%3."/>
      <w:lvlJc w:val="right"/>
      <w:pPr>
        <w:ind w:left="2157" w:hanging="180"/>
      </w:pPr>
    </w:lvl>
    <w:lvl w:ilvl="3" w:tplc="04090001" w:tentative="1">
      <w:start w:val="1"/>
      <w:numFmt w:val="decimal"/>
      <w:lvlText w:val="%4."/>
      <w:lvlJc w:val="left"/>
      <w:pPr>
        <w:ind w:left="2877" w:hanging="360"/>
      </w:pPr>
    </w:lvl>
    <w:lvl w:ilvl="4" w:tplc="04090003" w:tentative="1">
      <w:start w:val="1"/>
      <w:numFmt w:val="lowerLetter"/>
      <w:lvlText w:val="%5."/>
      <w:lvlJc w:val="left"/>
      <w:pPr>
        <w:ind w:left="3597" w:hanging="360"/>
      </w:pPr>
    </w:lvl>
    <w:lvl w:ilvl="5" w:tplc="04090005" w:tentative="1">
      <w:start w:val="1"/>
      <w:numFmt w:val="lowerRoman"/>
      <w:lvlText w:val="%6."/>
      <w:lvlJc w:val="right"/>
      <w:pPr>
        <w:ind w:left="4317" w:hanging="180"/>
      </w:pPr>
    </w:lvl>
    <w:lvl w:ilvl="6" w:tplc="04090001" w:tentative="1">
      <w:start w:val="1"/>
      <w:numFmt w:val="decimal"/>
      <w:lvlText w:val="%7."/>
      <w:lvlJc w:val="left"/>
      <w:pPr>
        <w:ind w:left="5037" w:hanging="360"/>
      </w:pPr>
    </w:lvl>
    <w:lvl w:ilvl="7" w:tplc="04090003" w:tentative="1">
      <w:start w:val="1"/>
      <w:numFmt w:val="lowerLetter"/>
      <w:lvlText w:val="%8."/>
      <w:lvlJc w:val="left"/>
      <w:pPr>
        <w:ind w:left="5757" w:hanging="360"/>
      </w:pPr>
    </w:lvl>
    <w:lvl w:ilvl="8" w:tplc="04090005" w:tentative="1">
      <w:start w:val="1"/>
      <w:numFmt w:val="lowerRoman"/>
      <w:lvlText w:val="%9."/>
      <w:lvlJc w:val="right"/>
      <w:pPr>
        <w:ind w:left="6477" w:hanging="180"/>
      </w:pPr>
    </w:lvl>
  </w:abstractNum>
  <w:abstractNum w:abstractNumId="24" w15:restartNumberingAfterBreak="0">
    <w:nsid w:val="6D9B1F8D"/>
    <w:multiLevelType w:val="hybridMultilevel"/>
    <w:tmpl w:val="1F905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F84DDF"/>
    <w:multiLevelType w:val="hybridMultilevel"/>
    <w:tmpl w:val="15E8D2D8"/>
    <w:lvl w:ilvl="0" w:tplc="1436C3B2">
      <w:start w:val="5"/>
      <w:numFmt w:val="bullet"/>
      <w:lvlText w:val="-"/>
      <w:lvlJc w:val="left"/>
      <w:pPr>
        <w:ind w:left="899" w:hanging="360"/>
      </w:pPr>
      <w:rPr>
        <w:rFonts w:ascii="Times New Roman" w:eastAsia="SimSun" w:hAnsi="Times New Roman" w:cs="Times New Roman" w:hint="default"/>
      </w:rPr>
    </w:lvl>
    <w:lvl w:ilvl="1" w:tplc="040C0003" w:tentative="1">
      <w:start w:val="1"/>
      <w:numFmt w:val="bullet"/>
      <w:lvlText w:val="o"/>
      <w:lvlJc w:val="left"/>
      <w:pPr>
        <w:ind w:left="1619" w:hanging="360"/>
      </w:pPr>
      <w:rPr>
        <w:rFonts w:ascii="Courier New" w:hAnsi="Courier New" w:hint="default"/>
      </w:rPr>
    </w:lvl>
    <w:lvl w:ilvl="2" w:tplc="040C0005" w:tentative="1">
      <w:start w:val="1"/>
      <w:numFmt w:val="bullet"/>
      <w:lvlText w:val=""/>
      <w:lvlJc w:val="left"/>
      <w:pPr>
        <w:ind w:left="2339" w:hanging="360"/>
      </w:pPr>
      <w:rPr>
        <w:rFonts w:ascii="Wingdings" w:hAnsi="Wingdings" w:hint="default"/>
      </w:rPr>
    </w:lvl>
    <w:lvl w:ilvl="3" w:tplc="040C0001" w:tentative="1">
      <w:start w:val="1"/>
      <w:numFmt w:val="bullet"/>
      <w:lvlText w:val=""/>
      <w:lvlJc w:val="left"/>
      <w:pPr>
        <w:ind w:left="3059" w:hanging="360"/>
      </w:pPr>
      <w:rPr>
        <w:rFonts w:ascii="Symbol" w:hAnsi="Symbol" w:hint="default"/>
      </w:rPr>
    </w:lvl>
    <w:lvl w:ilvl="4" w:tplc="040C0003" w:tentative="1">
      <w:start w:val="1"/>
      <w:numFmt w:val="bullet"/>
      <w:lvlText w:val="o"/>
      <w:lvlJc w:val="left"/>
      <w:pPr>
        <w:ind w:left="3779" w:hanging="360"/>
      </w:pPr>
      <w:rPr>
        <w:rFonts w:ascii="Courier New" w:hAnsi="Courier New" w:hint="default"/>
      </w:rPr>
    </w:lvl>
    <w:lvl w:ilvl="5" w:tplc="040C0005" w:tentative="1">
      <w:start w:val="1"/>
      <w:numFmt w:val="bullet"/>
      <w:lvlText w:val=""/>
      <w:lvlJc w:val="left"/>
      <w:pPr>
        <w:ind w:left="4499" w:hanging="360"/>
      </w:pPr>
      <w:rPr>
        <w:rFonts w:ascii="Wingdings" w:hAnsi="Wingdings" w:hint="default"/>
      </w:rPr>
    </w:lvl>
    <w:lvl w:ilvl="6" w:tplc="040C0001" w:tentative="1">
      <w:start w:val="1"/>
      <w:numFmt w:val="bullet"/>
      <w:lvlText w:val=""/>
      <w:lvlJc w:val="left"/>
      <w:pPr>
        <w:ind w:left="5219" w:hanging="360"/>
      </w:pPr>
      <w:rPr>
        <w:rFonts w:ascii="Symbol" w:hAnsi="Symbol" w:hint="default"/>
      </w:rPr>
    </w:lvl>
    <w:lvl w:ilvl="7" w:tplc="040C0003" w:tentative="1">
      <w:start w:val="1"/>
      <w:numFmt w:val="bullet"/>
      <w:lvlText w:val="o"/>
      <w:lvlJc w:val="left"/>
      <w:pPr>
        <w:ind w:left="5939" w:hanging="360"/>
      </w:pPr>
      <w:rPr>
        <w:rFonts w:ascii="Courier New" w:hAnsi="Courier New" w:hint="default"/>
      </w:rPr>
    </w:lvl>
    <w:lvl w:ilvl="8" w:tplc="040C0005" w:tentative="1">
      <w:start w:val="1"/>
      <w:numFmt w:val="bullet"/>
      <w:lvlText w:val=""/>
      <w:lvlJc w:val="left"/>
      <w:pPr>
        <w:ind w:left="6659" w:hanging="360"/>
      </w:pPr>
      <w:rPr>
        <w:rFonts w:ascii="Wingdings" w:hAnsi="Wingdings" w:hint="default"/>
      </w:rPr>
    </w:lvl>
  </w:abstractNum>
  <w:abstractNum w:abstractNumId="26" w15:restartNumberingAfterBreak="0">
    <w:nsid w:val="7B000A63"/>
    <w:multiLevelType w:val="hybridMultilevel"/>
    <w:tmpl w:val="15F604E4"/>
    <w:lvl w:ilvl="0" w:tplc="061EF83E">
      <w:start w:val="1"/>
      <w:numFmt w:val="decimal"/>
      <w:lvlText w:val="(%1)"/>
      <w:lvlJc w:val="left"/>
      <w:pPr>
        <w:ind w:left="717" w:hanging="360"/>
      </w:pPr>
      <w:rPr>
        <w:rFonts w:eastAsia="AppleMyungjo" w:cs="Wingdings" w:hint="default"/>
      </w:rPr>
    </w:lvl>
    <w:lvl w:ilvl="1" w:tplc="040C0019" w:tentative="1">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num w:numId="1">
    <w:abstractNumId w:val="16"/>
  </w:num>
  <w:num w:numId="2">
    <w:abstractNumId w:val="22"/>
  </w:num>
  <w:num w:numId="3">
    <w:abstractNumId w:val="11"/>
  </w:num>
  <w:num w:numId="4">
    <w:abstractNumId w:val="21"/>
  </w:num>
  <w:num w:numId="5">
    <w:abstractNumId w:val="12"/>
  </w:num>
  <w:num w:numId="6">
    <w:abstractNumId w:val="13"/>
  </w:num>
  <w:num w:numId="7">
    <w:abstractNumId w:val="18"/>
  </w:num>
  <w:num w:numId="8">
    <w:abstractNumId w:val="15"/>
  </w:num>
  <w:num w:numId="9">
    <w:abstractNumId w:val="23"/>
  </w:num>
  <w:num w:numId="10">
    <w:abstractNumId w:val="17"/>
  </w:num>
  <w:num w:numId="11">
    <w:abstractNumId w:val="26"/>
  </w:num>
  <w:num w:numId="12">
    <w:abstractNumId w:val="25"/>
  </w:num>
  <w:num w:numId="13">
    <w:abstractNumId w:val="0"/>
  </w:num>
  <w:num w:numId="14">
    <w:abstractNumId w:val="10"/>
  </w:num>
  <w:num w:numId="15">
    <w:abstractNumId w:val="9"/>
  </w:num>
  <w:num w:numId="16">
    <w:abstractNumId w:val="4"/>
  </w:num>
  <w:num w:numId="17">
    <w:abstractNumId w:val="3"/>
  </w:num>
  <w:num w:numId="18">
    <w:abstractNumId w:val="2"/>
  </w:num>
  <w:num w:numId="19">
    <w:abstractNumId w:val="1"/>
  </w:num>
  <w:num w:numId="20">
    <w:abstractNumId w:val="8"/>
  </w:num>
  <w:num w:numId="21">
    <w:abstractNumId w:val="7"/>
  </w:num>
  <w:num w:numId="22">
    <w:abstractNumId w:val="6"/>
  </w:num>
  <w:num w:numId="23">
    <w:abstractNumId w:val="5"/>
  </w:num>
  <w:num w:numId="24">
    <w:abstractNumId w:val="19"/>
  </w:num>
  <w:num w:numId="25">
    <w:abstractNumId w:val="24"/>
  </w:num>
  <w:num w:numId="26">
    <w:abstractNumId w:val="14"/>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linkStyles/>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9EC"/>
    <w:rsid w:val="0001117E"/>
    <w:rsid w:val="0002001C"/>
    <w:rsid w:val="00030DC1"/>
    <w:rsid w:val="00034B1C"/>
    <w:rsid w:val="000405DA"/>
    <w:rsid w:val="00052400"/>
    <w:rsid w:val="000C6598"/>
    <w:rsid w:val="000E30F0"/>
    <w:rsid w:val="000F01C0"/>
    <w:rsid w:val="000F08A1"/>
    <w:rsid w:val="000F69B3"/>
    <w:rsid w:val="00111216"/>
    <w:rsid w:val="001442B5"/>
    <w:rsid w:val="0015462E"/>
    <w:rsid w:val="0017654B"/>
    <w:rsid w:val="001804C4"/>
    <w:rsid w:val="00190DF5"/>
    <w:rsid w:val="001C1E13"/>
    <w:rsid w:val="001D149A"/>
    <w:rsid w:val="001D377B"/>
    <w:rsid w:val="001E3A9D"/>
    <w:rsid w:val="001E3BCD"/>
    <w:rsid w:val="001E6E3B"/>
    <w:rsid w:val="001F2B87"/>
    <w:rsid w:val="00203501"/>
    <w:rsid w:val="00227B13"/>
    <w:rsid w:val="002558FC"/>
    <w:rsid w:val="00260B1A"/>
    <w:rsid w:val="0027304F"/>
    <w:rsid w:val="002B7F9E"/>
    <w:rsid w:val="002C64A3"/>
    <w:rsid w:val="003107DE"/>
    <w:rsid w:val="003112ED"/>
    <w:rsid w:val="00326D98"/>
    <w:rsid w:val="00342457"/>
    <w:rsid w:val="0037796C"/>
    <w:rsid w:val="0038243B"/>
    <w:rsid w:val="00384710"/>
    <w:rsid w:val="00393596"/>
    <w:rsid w:val="003B7077"/>
    <w:rsid w:val="003B7D21"/>
    <w:rsid w:val="003C716E"/>
    <w:rsid w:val="003D264C"/>
    <w:rsid w:val="003F230C"/>
    <w:rsid w:val="00403B69"/>
    <w:rsid w:val="0040774B"/>
    <w:rsid w:val="004C37AE"/>
    <w:rsid w:val="004D2C2E"/>
    <w:rsid w:val="004E533E"/>
    <w:rsid w:val="005249FF"/>
    <w:rsid w:val="005608EE"/>
    <w:rsid w:val="0056505C"/>
    <w:rsid w:val="00624E3A"/>
    <w:rsid w:val="00641F11"/>
    <w:rsid w:val="00662569"/>
    <w:rsid w:val="00667161"/>
    <w:rsid w:val="00670A8F"/>
    <w:rsid w:val="006806E4"/>
    <w:rsid w:val="006807DA"/>
    <w:rsid w:val="00681076"/>
    <w:rsid w:val="006C2986"/>
    <w:rsid w:val="006C636F"/>
    <w:rsid w:val="006F5BB0"/>
    <w:rsid w:val="006F6F21"/>
    <w:rsid w:val="007124E0"/>
    <w:rsid w:val="007238AB"/>
    <w:rsid w:val="0073498D"/>
    <w:rsid w:val="00757CC0"/>
    <w:rsid w:val="007810A0"/>
    <w:rsid w:val="00785ECE"/>
    <w:rsid w:val="0078683B"/>
    <w:rsid w:val="00786C36"/>
    <w:rsid w:val="00795709"/>
    <w:rsid w:val="007A65AD"/>
    <w:rsid w:val="007B1E1D"/>
    <w:rsid w:val="007C1A5C"/>
    <w:rsid w:val="007C79A9"/>
    <w:rsid w:val="007D094F"/>
    <w:rsid w:val="007E25DB"/>
    <w:rsid w:val="008012BD"/>
    <w:rsid w:val="00822CA7"/>
    <w:rsid w:val="008A0C23"/>
    <w:rsid w:val="008A4201"/>
    <w:rsid w:val="008D19A8"/>
    <w:rsid w:val="008D5C88"/>
    <w:rsid w:val="008D6C18"/>
    <w:rsid w:val="008F1735"/>
    <w:rsid w:val="008F2D68"/>
    <w:rsid w:val="00904D22"/>
    <w:rsid w:val="00915D54"/>
    <w:rsid w:val="009218C6"/>
    <w:rsid w:val="00962E4A"/>
    <w:rsid w:val="0097429E"/>
    <w:rsid w:val="00983145"/>
    <w:rsid w:val="00983ACE"/>
    <w:rsid w:val="00987066"/>
    <w:rsid w:val="009A098D"/>
    <w:rsid w:val="009A5DD5"/>
    <w:rsid w:val="009B20EF"/>
    <w:rsid w:val="009B66B8"/>
    <w:rsid w:val="009D4C88"/>
    <w:rsid w:val="009E41A3"/>
    <w:rsid w:val="009E69B1"/>
    <w:rsid w:val="009E69CF"/>
    <w:rsid w:val="009F0DA6"/>
    <w:rsid w:val="00A06B0D"/>
    <w:rsid w:val="00A32EF0"/>
    <w:rsid w:val="00A42F4D"/>
    <w:rsid w:val="00A446A3"/>
    <w:rsid w:val="00A64F58"/>
    <w:rsid w:val="00A75807"/>
    <w:rsid w:val="00A770D7"/>
    <w:rsid w:val="00A932A7"/>
    <w:rsid w:val="00B06F65"/>
    <w:rsid w:val="00B13AE8"/>
    <w:rsid w:val="00B17FE1"/>
    <w:rsid w:val="00B256D7"/>
    <w:rsid w:val="00B26E4F"/>
    <w:rsid w:val="00B468C6"/>
    <w:rsid w:val="00B959A7"/>
    <w:rsid w:val="00BF0CFB"/>
    <w:rsid w:val="00BF4C46"/>
    <w:rsid w:val="00C01AC2"/>
    <w:rsid w:val="00C305BE"/>
    <w:rsid w:val="00C32B41"/>
    <w:rsid w:val="00C53CFF"/>
    <w:rsid w:val="00C67E35"/>
    <w:rsid w:val="00CA25F1"/>
    <w:rsid w:val="00CA2795"/>
    <w:rsid w:val="00CD006E"/>
    <w:rsid w:val="00CE32DA"/>
    <w:rsid w:val="00CF0182"/>
    <w:rsid w:val="00D33685"/>
    <w:rsid w:val="00D406D4"/>
    <w:rsid w:val="00D672B9"/>
    <w:rsid w:val="00D95340"/>
    <w:rsid w:val="00D97A2C"/>
    <w:rsid w:val="00DA6AD2"/>
    <w:rsid w:val="00DB7AFA"/>
    <w:rsid w:val="00DC156B"/>
    <w:rsid w:val="00DC5A0A"/>
    <w:rsid w:val="00DE49EC"/>
    <w:rsid w:val="00DF726D"/>
    <w:rsid w:val="00E0512B"/>
    <w:rsid w:val="00E07493"/>
    <w:rsid w:val="00E44FA5"/>
    <w:rsid w:val="00E66AB6"/>
    <w:rsid w:val="00E67496"/>
    <w:rsid w:val="00E72EB2"/>
    <w:rsid w:val="00E95A50"/>
    <w:rsid w:val="00EB34B0"/>
    <w:rsid w:val="00EF51FE"/>
    <w:rsid w:val="00F022D2"/>
    <w:rsid w:val="00F0388D"/>
    <w:rsid w:val="00F2256E"/>
    <w:rsid w:val="00F263FE"/>
    <w:rsid w:val="00F32DE2"/>
    <w:rsid w:val="00F364FB"/>
    <w:rsid w:val="00F63394"/>
    <w:rsid w:val="00F714AC"/>
    <w:rsid w:val="00F823E5"/>
    <w:rsid w:val="00F82EB9"/>
    <w:rsid w:val="00FA3ADB"/>
    <w:rsid w:val="00FA3FC8"/>
    <w:rsid w:val="00FA5CEE"/>
    <w:rsid w:val="00FB3E12"/>
    <w:rsid w:val="00FB6E4D"/>
    <w:rsid w:val="00FB75DA"/>
    <w:rsid w:val="00FF32CB"/>
    <w:rsid w:val="00FF3953"/>
    <w:rsid w:val="00FF4D8E"/>
  </w:rsids>
  <m:mathPr>
    <m:mathFont m:val="Cambria Math"/>
    <m:brkBin m:val="before"/>
    <m:brkBinSub m:val="--"/>
    <m:smallFrac/>
    <m:dispDef/>
    <m:lMargin m:val="0"/>
    <m:rMargin m:val="0"/>
    <m:defJc m:val="centerGroup"/>
    <m:wrapRight/>
    <m:intLim m:val="subSup"/>
    <m:naryLim m:val="subSup"/>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5975DF28-0D15-43B5-B53E-BE1B37E51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CFF"/>
    <w:pPr>
      <w:spacing w:after="160" w:line="259" w:lineRule="auto"/>
    </w:pPr>
    <w:rPr>
      <w:rFonts w:asciiTheme="minorHAnsi" w:eastAsiaTheme="minorHAnsi" w:hAnsiTheme="minorHAnsi" w:cstheme="minorBidi"/>
      <w:sz w:val="22"/>
      <w:szCs w:val="22"/>
      <w:lang w:eastAsia="en-US"/>
    </w:rPr>
  </w:style>
  <w:style w:type="paragraph" w:styleId="Titre1">
    <w:name w:val="heading 1"/>
    <w:basedOn w:val="Normal"/>
    <w:next w:val="Normal"/>
    <w:link w:val="Titre1Car"/>
    <w:qFormat/>
    <w:rsid w:val="001C1E13"/>
    <w:pPr>
      <w:keepNext/>
      <w:spacing w:before="240" w:after="60"/>
      <w:outlineLvl w:val="0"/>
    </w:pPr>
    <w:rPr>
      <w:rFonts w:ascii="Arial" w:hAnsi="Arial"/>
      <w:b/>
      <w:kern w:val="32"/>
      <w:sz w:val="32"/>
      <w:szCs w:val="32"/>
    </w:rPr>
  </w:style>
  <w:style w:type="character" w:default="1" w:styleId="Policepardfaut">
    <w:name w:val="Default Paragraph Font"/>
    <w:uiPriority w:val="1"/>
    <w:semiHidden/>
    <w:unhideWhenUsed/>
    <w:rsid w:val="00C53CFF"/>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C53CFF"/>
  </w:style>
  <w:style w:type="paragraph" w:styleId="Textedebulles">
    <w:name w:val="Balloon Text"/>
    <w:basedOn w:val="Normal"/>
    <w:link w:val="TextedebullesCar"/>
    <w:rsid w:val="001C1E13"/>
    <w:rPr>
      <w:rFonts w:ascii="Lucida Grande" w:hAnsi="Lucida Grande"/>
      <w:sz w:val="18"/>
      <w:szCs w:val="18"/>
    </w:rPr>
  </w:style>
  <w:style w:type="table" w:styleId="Grilledutableau">
    <w:name w:val="Table Grid"/>
    <w:basedOn w:val="TableauNormal"/>
    <w:rsid w:val="00CB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300576"/>
    <w:rPr>
      <w:color w:val="0000FF"/>
      <w:u w:val="single"/>
    </w:rPr>
  </w:style>
  <w:style w:type="character" w:styleId="Marquedecommentaire">
    <w:name w:val="annotation reference"/>
    <w:basedOn w:val="Policepardfaut"/>
    <w:rsid w:val="001C1E13"/>
    <w:rPr>
      <w:sz w:val="18"/>
      <w:szCs w:val="18"/>
    </w:rPr>
  </w:style>
  <w:style w:type="paragraph" w:styleId="Commentaire">
    <w:name w:val="annotation text"/>
    <w:basedOn w:val="Normal"/>
    <w:link w:val="CommentaireCar"/>
    <w:semiHidden/>
    <w:rsid w:val="001C1E13"/>
  </w:style>
  <w:style w:type="character" w:customStyle="1" w:styleId="CommentaireCar">
    <w:name w:val="Commentaire Car"/>
    <w:basedOn w:val="Policepardfaut"/>
    <w:link w:val="Commentaire"/>
    <w:semiHidden/>
    <w:rsid w:val="001C1E13"/>
    <w:rPr>
      <w:rFonts w:eastAsia="SimSun"/>
      <w:lang w:eastAsia="en-US"/>
    </w:rPr>
  </w:style>
  <w:style w:type="paragraph" w:styleId="Objetducommentaire">
    <w:name w:val="annotation subject"/>
    <w:basedOn w:val="Commentaire"/>
    <w:next w:val="Commentaire"/>
    <w:link w:val="ObjetducommentaireCar"/>
    <w:rsid w:val="001C1E13"/>
    <w:rPr>
      <w:b/>
      <w:bCs/>
      <w:sz w:val="20"/>
      <w:szCs w:val="20"/>
    </w:rPr>
  </w:style>
  <w:style w:type="character" w:customStyle="1" w:styleId="ObjetducommentaireCar">
    <w:name w:val="Objet du commentaire Car"/>
    <w:basedOn w:val="CommentaireCar"/>
    <w:link w:val="Objetducommentaire"/>
    <w:rsid w:val="001C1E13"/>
    <w:rPr>
      <w:rFonts w:eastAsia="SimSun"/>
      <w:b/>
      <w:bCs/>
      <w:sz w:val="20"/>
      <w:szCs w:val="20"/>
      <w:lang w:eastAsia="en-US"/>
    </w:rPr>
  </w:style>
  <w:style w:type="paragraph" w:styleId="En-tte">
    <w:name w:val="header"/>
    <w:basedOn w:val="Normal"/>
    <w:link w:val="En-tteCar"/>
    <w:uiPriority w:val="99"/>
    <w:semiHidden/>
    <w:unhideWhenUsed/>
    <w:rsid w:val="00E0512B"/>
    <w:pPr>
      <w:tabs>
        <w:tab w:val="center" w:pos="4536"/>
        <w:tab w:val="right" w:pos="9072"/>
      </w:tabs>
    </w:pPr>
  </w:style>
  <w:style w:type="character" w:customStyle="1" w:styleId="En-tteCar">
    <w:name w:val="En-tête Car"/>
    <w:basedOn w:val="Policepardfaut"/>
    <w:link w:val="En-tte"/>
    <w:uiPriority w:val="99"/>
    <w:semiHidden/>
    <w:rsid w:val="00E0512B"/>
    <w:rPr>
      <w:rFonts w:ascii="Times" w:eastAsia="Times" w:hAnsi="Times"/>
      <w:sz w:val="24"/>
      <w:lang w:val="fr-FR"/>
    </w:rPr>
  </w:style>
  <w:style w:type="paragraph" w:styleId="Pieddepage">
    <w:name w:val="footer"/>
    <w:basedOn w:val="Normal"/>
    <w:link w:val="PieddepageCar"/>
    <w:rsid w:val="001C1E13"/>
    <w:pPr>
      <w:tabs>
        <w:tab w:val="center" w:pos="4536"/>
        <w:tab w:val="right" w:pos="9072"/>
      </w:tabs>
    </w:pPr>
  </w:style>
  <w:style w:type="character" w:customStyle="1" w:styleId="PieddepageCar">
    <w:name w:val="Pied de page Car"/>
    <w:basedOn w:val="Policepardfaut"/>
    <w:link w:val="Pieddepage"/>
    <w:rsid w:val="001C1E13"/>
    <w:rPr>
      <w:rFonts w:eastAsia="SimSun"/>
      <w:lang w:eastAsia="en-US"/>
    </w:rPr>
  </w:style>
  <w:style w:type="character" w:styleId="Numrodepage">
    <w:name w:val="page number"/>
    <w:basedOn w:val="Policepardfaut"/>
    <w:uiPriority w:val="99"/>
    <w:semiHidden/>
    <w:unhideWhenUsed/>
    <w:rsid w:val="00E0512B"/>
  </w:style>
  <w:style w:type="paragraph" w:styleId="NormalWeb">
    <w:name w:val="Normal (Web)"/>
    <w:basedOn w:val="Normal"/>
    <w:uiPriority w:val="99"/>
    <w:rsid w:val="00E0512B"/>
    <w:pPr>
      <w:spacing w:beforeLines="1" w:afterLines="1"/>
    </w:pPr>
    <w:rPr>
      <w:rFonts w:eastAsia="Times New Roman"/>
      <w:sz w:val="20"/>
      <w:lang w:eastAsia="fr-FR"/>
    </w:rPr>
  </w:style>
  <w:style w:type="character" w:styleId="Accentuation">
    <w:name w:val="Emphasis"/>
    <w:basedOn w:val="Policepardfaut"/>
    <w:uiPriority w:val="20"/>
    <w:qFormat/>
    <w:rsid w:val="00E0512B"/>
    <w:rPr>
      <w:i/>
    </w:rPr>
  </w:style>
  <w:style w:type="character" w:customStyle="1" w:styleId="Titre1Car">
    <w:name w:val="Titre 1 Car"/>
    <w:basedOn w:val="Policepardfaut"/>
    <w:link w:val="Titre1"/>
    <w:rsid w:val="00FB3E12"/>
    <w:rPr>
      <w:rFonts w:ascii="Arial" w:eastAsia="SimSun" w:hAnsi="Arial"/>
      <w:b/>
      <w:kern w:val="32"/>
      <w:sz w:val="32"/>
      <w:szCs w:val="32"/>
      <w:lang w:eastAsia="en-US"/>
    </w:rPr>
  </w:style>
  <w:style w:type="paragraph" w:styleId="Notedefin">
    <w:name w:val="endnote text"/>
    <w:basedOn w:val="Normal"/>
    <w:link w:val="NotedefinCar"/>
    <w:rsid w:val="001C1E13"/>
    <w:rPr>
      <w:sz w:val="20"/>
      <w:szCs w:val="20"/>
    </w:rPr>
  </w:style>
  <w:style w:type="character" w:customStyle="1" w:styleId="NotedefinCar">
    <w:name w:val="Note de fin Car"/>
    <w:basedOn w:val="Policepardfaut"/>
    <w:link w:val="Notedefin"/>
    <w:rsid w:val="00FB3E12"/>
    <w:rPr>
      <w:rFonts w:eastAsia="SimSun"/>
      <w:sz w:val="20"/>
      <w:szCs w:val="20"/>
      <w:lang w:eastAsia="en-US"/>
    </w:rPr>
  </w:style>
  <w:style w:type="paragraph" w:styleId="Notedebasdepage">
    <w:name w:val="footnote text"/>
    <w:basedOn w:val="Normal"/>
    <w:link w:val="NotedebasdepageCar"/>
    <w:rsid w:val="001C1E13"/>
    <w:rPr>
      <w:sz w:val="20"/>
      <w:szCs w:val="20"/>
    </w:rPr>
  </w:style>
  <w:style w:type="character" w:customStyle="1" w:styleId="NotedebasdepageCar">
    <w:name w:val="Note de bas de page Car"/>
    <w:basedOn w:val="Policepardfaut"/>
    <w:link w:val="Notedebasdepage"/>
    <w:rsid w:val="00FB3E12"/>
    <w:rPr>
      <w:rFonts w:eastAsia="SimSun"/>
      <w:sz w:val="20"/>
      <w:szCs w:val="20"/>
      <w:lang w:eastAsia="en-US"/>
    </w:rPr>
  </w:style>
  <w:style w:type="paragraph" w:customStyle="1" w:styleId="Meta01-Titredelarticle">
    <w:name w:val="Meta01 - Titre de l'article"/>
    <w:basedOn w:val="Normal"/>
    <w:next w:val="Meta02-Nomdelauteur"/>
    <w:autoRedefine/>
    <w:rsid w:val="001C1E13"/>
    <w:pPr>
      <w:spacing w:after="240"/>
      <w:ind w:right="-522"/>
      <w:outlineLvl w:val="0"/>
    </w:pPr>
    <w:rPr>
      <w:b/>
      <w:color w:val="000000"/>
      <w:sz w:val="36"/>
      <w:szCs w:val="36"/>
    </w:rPr>
  </w:style>
  <w:style w:type="paragraph" w:customStyle="1" w:styleId="Meta02-Nomdelauteur">
    <w:name w:val="Meta02-Nom de l'auteur"/>
    <w:basedOn w:val="Normal"/>
    <w:next w:val="Meta03-Affiliationauteur"/>
    <w:autoRedefine/>
    <w:rsid w:val="001C1E13"/>
    <w:pPr>
      <w:ind w:left="1440"/>
    </w:pPr>
    <w:rPr>
      <w:caps/>
      <w:lang w:val="es-ES"/>
    </w:rPr>
  </w:style>
  <w:style w:type="paragraph" w:customStyle="1" w:styleId="Meta03-Affiliationauteur">
    <w:name w:val="Meta03-Affiliation auteur"/>
    <w:basedOn w:val="Normal"/>
    <w:next w:val="Meta04-Courrielauteur"/>
    <w:autoRedefine/>
    <w:rsid w:val="001C1E13"/>
    <w:pPr>
      <w:ind w:left="1440"/>
    </w:pPr>
    <w:rPr>
      <w:i/>
      <w:iCs/>
      <w:color w:val="000000"/>
      <w:sz w:val="20"/>
      <w:szCs w:val="20"/>
      <w:lang w:val="es-ES"/>
    </w:rPr>
  </w:style>
  <w:style w:type="paragraph" w:customStyle="1" w:styleId="Meta04-Courrielauteur">
    <w:name w:val="Meta04-Courriel auteur"/>
    <w:basedOn w:val="Normal"/>
    <w:next w:val="Meta05-TitreRsum"/>
    <w:autoRedefine/>
    <w:rsid w:val="001C1E13"/>
    <w:pPr>
      <w:spacing w:after="240"/>
      <w:ind w:left="1440"/>
    </w:pPr>
    <w:rPr>
      <w:color w:val="000000"/>
      <w:sz w:val="20"/>
      <w:szCs w:val="20"/>
      <w:lang w:val="es-ES"/>
    </w:rPr>
  </w:style>
  <w:style w:type="paragraph" w:customStyle="1" w:styleId="Meta05-TitreRsum">
    <w:name w:val="Meta05-Titre Résumé"/>
    <w:basedOn w:val="Normal"/>
    <w:next w:val="Meta06-RsumAbstract"/>
    <w:autoRedefine/>
    <w:rsid w:val="001C1E13"/>
    <w:pPr>
      <w:spacing w:before="480"/>
    </w:pPr>
    <w:rPr>
      <w:b/>
    </w:rPr>
  </w:style>
  <w:style w:type="paragraph" w:customStyle="1" w:styleId="Meta06-RsumAbstract">
    <w:name w:val="Meta06-Résumé/Abstract"/>
    <w:basedOn w:val="Normal"/>
    <w:next w:val="Meta07-TitreAbstractMots-cls"/>
    <w:autoRedefine/>
    <w:rsid w:val="001C1E13"/>
    <w:rPr>
      <w:color w:val="000000"/>
      <w:lang w:val="fr-FR"/>
    </w:rPr>
  </w:style>
  <w:style w:type="paragraph" w:customStyle="1" w:styleId="Meta07-TitreAbstractMots-cls">
    <w:name w:val="Meta07-Titre Abstract/Mots-clés"/>
    <w:basedOn w:val="Normal"/>
    <w:next w:val="Meta08-Motscls"/>
    <w:autoRedefine/>
    <w:rsid w:val="001C1E13"/>
    <w:pPr>
      <w:spacing w:before="240"/>
    </w:pPr>
    <w:rPr>
      <w:b/>
      <w:bCs/>
      <w:lang w:val="en-US"/>
    </w:rPr>
  </w:style>
  <w:style w:type="paragraph" w:customStyle="1" w:styleId="Meta08-Motscls">
    <w:name w:val="Meta08-Mots clés"/>
    <w:basedOn w:val="Normal"/>
    <w:next w:val="Meta09-KeyWords"/>
    <w:autoRedefine/>
    <w:rsid w:val="001C1E13"/>
    <w:rPr>
      <w:color w:val="000000"/>
      <w:lang w:val="fr-FR"/>
    </w:rPr>
  </w:style>
  <w:style w:type="paragraph" w:customStyle="1" w:styleId="Meta09-KeyWords">
    <w:name w:val="Meta09-KeyWords"/>
    <w:basedOn w:val="Meta08-Motscls"/>
    <w:next w:val="Meta10-Exergue"/>
    <w:autoRedefine/>
    <w:rsid w:val="001C1E13"/>
    <w:pPr>
      <w:spacing w:after="480"/>
    </w:pPr>
  </w:style>
  <w:style w:type="paragraph" w:customStyle="1" w:styleId="Meta10-Exergue">
    <w:name w:val="Meta10-Exergue"/>
    <w:basedOn w:val="Normal"/>
    <w:next w:val="Meta11-AuteurExergue"/>
    <w:autoRedefine/>
    <w:rsid w:val="001C1E13"/>
    <w:pPr>
      <w:ind w:left="4500"/>
      <w:jc w:val="right"/>
    </w:pPr>
    <w:rPr>
      <w:sz w:val="20"/>
    </w:rPr>
  </w:style>
  <w:style w:type="paragraph" w:customStyle="1" w:styleId="Meta11-AuteurExergue">
    <w:name w:val="Meta11-AuteurExergue"/>
    <w:basedOn w:val="Normal"/>
    <w:next w:val="Meta12-Premierparagraphe"/>
    <w:autoRedefine/>
    <w:rsid w:val="001C1E13"/>
    <w:pPr>
      <w:ind w:left="4500"/>
      <w:jc w:val="right"/>
    </w:pPr>
    <w:rPr>
      <w:sz w:val="20"/>
    </w:rPr>
  </w:style>
  <w:style w:type="paragraph" w:customStyle="1" w:styleId="Meta12-Premierparagraphe">
    <w:name w:val="Meta12-Premier paragraphe"/>
    <w:basedOn w:val="Normal"/>
    <w:next w:val="Meta13-Autresparagraphes"/>
    <w:autoRedefine/>
    <w:rsid w:val="001C1E13"/>
    <w:rPr>
      <w:color w:val="000000"/>
    </w:rPr>
  </w:style>
  <w:style w:type="paragraph" w:customStyle="1" w:styleId="Meta13-Autresparagraphes">
    <w:name w:val="Meta13-Autres paragraphes"/>
    <w:basedOn w:val="Normal"/>
    <w:autoRedefine/>
    <w:rsid w:val="001C1E13"/>
    <w:pPr>
      <w:ind w:firstLine="539"/>
    </w:pPr>
  </w:style>
  <w:style w:type="paragraph" w:customStyle="1" w:styleId="Meta14-Titre1">
    <w:name w:val="Meta14-Titre 1"/>
    <w:basedOn w:val="Normal"/>
    <w:next w:val="Meta12-Premierparagraphe"/>
    <w:autoRedefine/>
    <w:rsid w:val="001C1E13"/>
    <w:pPr>
      <w:spacing w:before="360" w:after="240"/>
      <w:ind w:firstLine="720"/>
    </w:pPr>
    <w:rPr>
      <w:b/>
      <w:color w:val="000000"/>
      <w:lang w:val="fr-FR"/>
    </w:rPr>
  </w:style>
  <w:style w:type="paragraph" w:customStyle="1" w:styleId="Meta15-Titre2">
    <w:name w:val="Meta15-Titre 2"/>
    <w:basedOn w:val="Normal"/>
    <w:next w:val="Meta12-Premierparagraphe"/>
    <w:autoRedefine/>
    <w:rsid w:val="001C1E13"/>
    <w:pPr>
      <w:spacing w:before="360" w:after="240"/>
      <w:ind w:firstLine="720"/>
    </w:pPr>
    <w:rPr>
      <w:b/>
      <w:i/>
      <w:color w:val="000000"/>
      <w:lang w:val="fr-FR"/>
    </w:rPr>
  </w:style>
  <w:style w:type="paragraph" w:customStyle="1" w:styleId="Meta16-Titre3">
    <w:name w:val="Meta16-Titre 3"/>
    <w:basedOn w:val="Normal"/>
    <w:next w:val="Meta12-Premierparagraphe"/>
    <w:autoRedefine/>
    <w:rsid w:val="001C1E13"/>
    <w:pPr>
      <w:spacing w:before="240" w:after="240"/>
      <w:ind w:firstLine="720"/>
    </w:pPr>
    <w:rPr>
      <w:i/>
      <w:color w:val="000000"/>
      <w:lang w:val="fr-FR"/>
    </w:rPr>
  </w:style>
  <w:style w:type="paragraph" w:customStyle="1" w:styleId="Meta17-Titre4">
    <w:name w:val="Meta17-Titre 4"/>
    <w:basedOn w:val="Normal"/>
    <w:next w:val="Meta12-Premierparagraphe"/>
    <w:autoRedefine/>
    <w:rsid w:val="001C1E13"/>
    <w:pPr>
      <w:spacing w:before="240" w:after="240"/>
      <w:ind w:firstLine="720"/>
    </w:pPr>
    <w:rPr>
      <w:i/>
      <w:color w:val="000000"/>
      <w:lang w:val="fr-FR"/>
    </w:rPr>
  </w:style>
  <w:style w:type="paragraph" w:customStyle="1" w:styleId="Meta27-Notes">
    <w:name w:val="Meta27-Notes"/>
    <w:basedOn w:val="Notedefin"/>
    <w:autoRedefine/>
    <w:rsid w:val="001C1E13"/>
    <w:rPr>
      <w:color w:val="000000"/>
      <w:lang w:val="en-US"/>
    </w:rPr>
  </w:style>
  <w:style w:type="paragraph" w:customStyle="1" w:styleId="Meta26-TitreNotes">
    <w:name w:val="Meta26-Titre Notes"/>
    <w:basedOn w:val="Normal"/>
    <w:autoRedefine/>
    <w:rsid w:val="001C1E13"/>
    <w:pPr>
      <w:spacing w:before="360" w:after="360"/>
      <w:ind w:right="-601" w:firstLine="720"/>
    </w:pPr>
    <w:rPr>
      <w:b/>
      <w:color w:val="000000"/>
      <w:lang w:val="fr-FR"/>
    </w:rPr>
  </w:style>
  <w:style w:type="paragraph" w:customStyle="1" w:styleId="Meta28-TitreRfrences">
    <w:name w:val="Meta28-Titre Références"/>
    <w:basedOn w:val="Normal"/>
    <w:next w:val="Meta29-Rfrences"/>
    <w:autoRedefine/>
    <w:rsid w:val="001C1E13"/>
    <w:pPr>
      <w:spacing w:before="360" w:after="360"/>
      <w:ind w:firstLine="720"/>
    </w:pPr>
    <w:rPr>
      <w:b/>
      <w:color w:val="000000"/>
      <w:lang w:val="fr-FR"/>
    </w:rPr>
  </w:style>
  <w:style w:type="paragraph" w:customStyle="1" w:styleId="Meta29-Rfrences">
    <w:name w:val="Meta29-Références"/>
    <w:basedOn w:val="Meta27-Notes"/>
    <w:autoRedefine/>
    <w:rsid w:val="001C1E13"/>
    <w:pPr>
      <w:ind w:left="720" w:hanging="720"/>
    </w:pPr>
    <w:rPr>
      <w:szCs w:val="24"/>
    </w:rPr>
  </w:style>
  <w:style w:type="paragraph" w:customStyle="1" w:styleId="Meta20-Citation">
    <w:name w:val="Meta20-Citation"/>
    <w:basedOn w:val="Normal"/>
    <w:autoRedefine/>
    <w:rsid w:val="001C1E13"/>
    <w:pPr>
      <w:spacing w:before="240" w:after="240"/>
      <w:ind w:left="720"/>
      <w:contextualSpacing/>
    </w:pPr>
    <w:rPr>
      <w:sz w:val="20"/>
      <w:szCs w:val="20"/>
      <w:lang w:val="fr-FR"/>
    </w:rPr>
  </w:style>
  <w:style w:type="paragraph" w:customStyle="1" w:styleId="Meta19-Auteurousource">
    <w:name w:val="Meta19-Auteur ou source"/>
    <w:basedOn w:val="Normal"/>
    <w:next w:val="Meta13-Autresparagraphes"/>
    <w:autoRedefine/>
    <w:rsid w:val="001C1E13"/>
    <w:pPr>
      <w:spacing w:after="240"/>
      <w:ind w:left="3828"/>
    </w:pPr>
    <w:rPr>
      <w:color w:val="0000FF"/>
      <w:sz w:val="20"/>
      <w:szCs w:val="20"/>
      <w:lang w:val="fr-FR"/>
    </w:rPr>
  </w:style>
  <w:style w:type="paragraph" w:customStyle="1" w:styleId="Meta20b-Citationnumrote">
    <w:name w:val="Meta20b-Citation numérotée"/>
    <w:basedOn w:val="Normal"/>
    <w:next w:val="Meta22a-Traductionouglose"/>
    <w:autoRedefine/>
    <w:rsid w:val="001C1E13"/>
    <w:pPr>
      <w:tabs>
        <w:tab w:val="left" w:pos="993"/>
      </w:tabs>
      <w:spacing w:before="240"/>
      <w:ind w:left="714" w:hanging="357"/>
    </w:pPr>
    <w:rPr>
      <w:sz w:val="20"/>
      <w:lang w:val="fr-FR"/>
    </w:rPr>
  </w:style>
  <w:style w:type="paragraph" w:customStyle="1" w:styleId="Meta22a-Traductionouglose">
    <w:name w:val="Meta22a-Traduction ou glose"/>
    <w:basedOn w:val="Normal"/>
    <w:autoRedefine/>
    <w:rsid w:val="001C1E13"/>
    <w:pPr>
      <w:ind w:left="720"/>
    </w:pPr>
    <w:rPr>
      <w:sz w:val="20"/>
      <w:szCs w:val="20"/>
      <w:lang w:val="en-GB"/>
    </w:rPr>
  </w:style>
  <w:style w:type="paragraph" w:customStyle="1" w:styleId="Meta24-Numrotationdetableau">
    <w:name w:val="Meta24-Numérotation de tableau"/>
    <w:basedOn w:val="Meta13-Autresparagraphes"/>
    <w:next w:val="Meta25-Titredutableau"/>
    <w:autoRedefine/>
    <w:rsid w:val="001C1E13"/>
    <w:pPr>
      <w:spacing w:before="240" w:after="120"/>
      <w:ind w:firstLine="0"/>
    </w:pPr>
    <w:rPr>
      <w:smallCaps/>
      <w:sz w:val="20"/>
      <w:lang w:val="fr-FR"/>
    </w:rPr>
  </w:style>
  <w:style w:type="paragraph" w:customStyle="1" w:styleId="Meta25-Titredutableau">
    <w:name w:val="Meta25-Titre du tableau"/>
    <w:basedOn w:val="Meta13-Autresparagraphes"/>
    <w:autoRedefine/>
    <w:rsid w:val="001C1E13"/>
    <w:pPr>
      <w:spacing w:before="120" w:after="120"/>
      <w:ind w:firstLine="0"/>
    </w:pPr>
    <w:rPr>
      <w:b/>
      <w:sz w:val="20"/>
      <w:lang w:val="fr-FR"/>
    </w:rPr>
  </w:style>
  <w:style w:type="paragraph" w:customStyle="1" w:styleId="Meta18-lmentdeliste">
    <w:name w:val="Meta18-Élément de liste"/>
    <w:basedOn w:val="Normal"/>
    <w:autoRedefine/>
    <w:rsid w:val="001C1E13"/>
    <w:pPr>
      <w:tabs>
        <w:tab w:val="left" w:pos="993"/>
      </w:tabs>
      <w:ind w:left="890" w:hanging="170"/>
    </w:pPr>
    <w:rPr>
      <w:sz w:val="20"/>
      <w:lang w:val="fr-FR"/>
    </w:rPr>
  </w:style>
  <w:style w:type="paragraph" w:customStyle="1" w:styleId="Meta18b-Listeniveau">
    <w:name w:val="Meta18b-Liste à niveau"/>
    <w:basedOn w:val="Meta18-lmentdeliste"/>
    <w:autoRedefine/>
    <w:qFormat/>
    <w:rsid w:val="001C1E13"/>
    <w:pPr>
      <w:tabs>
        <w:tab w:val="left" w:pos="1077"/>
        <w:tab w:val="left" w:pos="1418"/>
        <w:tab w:val="left" w:pos="1701"/>
      </w:tabs>
      <w:ind w:left="1089" w:hanging="369"/>
    </w:pPr>
  </w:style>
  <w:style w:type="paragraph" w:customStyle="1" w:styleId="Meta22-Exemplenumrot">
    <w:name w:val="Meta22-Exemple numéroté"/>
    <w:basedOn w:val="Meta20b-Citationnumrote"/>
    <w:next w:val="Meta13-Autresparagraphes"/>
    <w:autoRedefine/>
    <w:qFormat/>
    <w:rsid w:val="001C1E13"/>
    <w:rPr>
      <w:i/>
    </w:rPr>
  </w:style>
  <w:style w:type="paragraph" w:customStyle="1" w:styleId="Meta23-Sous-titrage">
    <w:name w:val="Meta23-Sous-titrage"/>
    <w:basedOn w:val="Meta22a-Traductionouglose"/>
    <w:autoRedefine/>
    <w:qFormat/>
    <w:rsid w:val="001C1E13"/>
    <w:rPr>
      <w:i/>
      <w:u w:color="000000"/>
    </w:rPr>
  </w:style>
  <w:style w:type="character" w:customStyle="1" w:styleId="TextedebullesCar">
    <w:name w:val="Texte de bulles Car"/>
    <w:basedOn w:val="Policepardfaut"/>
    <w:link w:val="Textedebulles"/>
    <w:rsid w:val="001C1E13"/>
    <w:rPr>
      <w:rFonts w:ascii="Lucida Grande" w:eastAsia="SimSun" w:hAnsi="Lucida Grande"/>
      <w:sz w:val="18"/>
      <w:szCs w:val="18"/>
      <w:lang w:eastAsia="en-US"/>
    </w:rPr>
  </w:style>
  <w:style w:type="paragraph" w:styleId="Paragraphedeliste">
    <w:name w:val="List Paragraph"/>
    <w:basedOn w:val="Normal"/>
    <w:rsid w:val="000405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662161">
      <w:bodyDiv w:val="1"/>
      <w:marLeft w:val="0"/>
      <w:marRight w:val="0"/>
      <w:marTop w:val="0"/>
      <w:marBottom w:val="0"/>
      <w:divBdr>
        <w:top w:val="none" w:sz="0" w:space="0" w:color="auto"/>
        <w:left w:val="none" w:sz="0" w:space="0" w:color="auto"/>
        <w:bottom w:val="none" w:sz="0" w:space="0" w:color="auto"/>
        <w:right w:val="none" w:sz="0" w:space="0" w:color="auto"/>
      </w:divBdr>
    </w:div>
    <w:div w:id="1412317118">
      <w:bodyDiv w:val="1"/>
      <w:marLeft w:val="0"/>
      <w:marRight w:val="0"/>
      <w:marTop w:val="0"/>
      <w:marBottom w:val="0"/>
      <w:divBdr>
        <w:top w:val="none" w:sz="0" w:space="0" w:color="auto"/>
        <w:left w:val="none" w:sz="0" w:space="0" w:color="auto"/>
        <w:bottom w:val="none" w:sz="0" w:space="0" w:color="auto"/>
        <w:right w:val="none" w:sz="0" w:space="0" w:color="auto"/>
      </w:divBdr>
    </w:div>
    <w:div w:id="1604411861">
      <w:bodyDiv w:val="1"/>
      <w:marLeft w:val="0"/>
      <w:marRight w:val="0"/>
      <w:marTop w:val="0"/>
      <w:marBottom w:val="0"/>
      <w:divBdr>
        <w:top w:val="none" w:sz="0" w:space="0" w:color="auto"/>
        <w:left w:val="none" w:sz="0" w:space="0" w:color="auto"/>
        <w:bottom w:val="none" w:sz="0" w:space="0" w:color="auto"/>
        <w:right w:val="none" w:sz="0" w:space="0" w:color="auto"/>
      </w:divBdr>
    </w:div>
    <w:div w:id="16236579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1503</Words>
  <Characters>8270</Characters>
  <Application>Microsoft Office Word</Application>
  <DocSecurity>0</DocSecurity>
  <Lines>68</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9754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Meta UdeM</dc:creator>
  <cp:lastModifiedBy>MP</cp:lastModifiedBy>
  <cp:revision>3</cp:revision>
  <cp:lastPrinted>2008-02-13T22:50:00Z</cp:lastPrinted>
  <dcterms:created xsi:type="dcterms:W3CDTF">2017-04-11T18:30:00Z</dcterms:created>
  <dcterms:modified xsi:type="dcterms:W3CDTF">2017-05-22T18:33:00Z</dcterms:modified>
</cp:coreProperties>
</file>